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iCs/>
          <w:color w:val="000000"/>
          <w:kern w:val="0"/>
          <w:sz w:val="32"/>
          <w:szCs w:val="32"/>
          <w:lang w:val="en-US" w:eastAsia="zh-CN" w:bidi="ar-SA"/>
        </w:rPr>
      </w:pPr>
      <w:bookmarkStart w:id="0" w:name="_GoBack"/>
      <w:bookmarkEnd w:id="0"/>
      <w:r>
        <w:rPr>
          <w:rFonts w:hint="eastAsia" w:ascii="黑体" w:hAnsi="黑体" w:eastAsia="黑体" w:cs="黑体"/>
          <w:b w:val="0"/>
          <w:i w:val="0"/>
          <w:iCs/>
          <w:color w:val="000000"/>
          <w:kern w:val="0"/>
          <w:sz w:val="32"/>
          <w:szCs w:val="32"/>
          <w:lang w:val="en-US" w:eastAsia="zh-CN" w:bidi="ar-SA"/>
        </w:rPr>
        <w:t>附件：</w:t>
      </w:r>
    </w:p>
    <w:tbl>
      <w:tblPr>
        <w:tblStyle w:val="7"/>
        <w:tblW w:w="0" w:type="auto"/>
        <w:tblInd w:w="93" w:type="dxa"/>
        <w:tblLayout w:type="fixed"/>
        <w:tblCellMar>
          <w:top w:w="0" w:type="dxa"/>
          <w:left w:w="108" w:type="dxa"/>
          <w:bottom w:w="0" w:type="dxa"/>
          <w:right w:w="108" w:type="dxa"/>
        </w:tblCellMar>
      </w:tblPr>
      <w:tblGrid>
        <w:gridCol w:w="824"/>
        <w:gridCol w:w="1976"/>
        <w:gridCol w:w="3400"/>
        <w:gridCol w:w="3975"/>
        <w:gridCol w:w="1825"/>
        <w:gridCol w:w="1939"/>
      </w:tblGrid>
      <w:tr>
        <w:trPr>
          <w:trHeight w:val="495" w:hRule="atLeast"/>
        </w:trPr>
        <w:tc>
          <w:tcPr>
            <w:tcW w:w="13939"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ascii="宋体" w:eastAsia="宋体" w:cs="宋体"/>
                <w:b/>
                <w:bCs/>
                <w:color w:val="auto"/>
                <w:kern w:val="0"/>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中山市住房公积金管理中心包容审慎行政执法事项清单</w:t>
            </w:r>
          </w:p>
        </w:tc>
      </w:tr>
      <w:tr>
        <w:tblPrEx>
          <w:tblCellMar>
            <w:top w:w="0" w:type="dxa"/>
            <w:left w:w="108" w:type="dxa"/>
            <w:bottom w:w="0" w:type="dxa"/>
            <w:right w:w="108" w:type="dxa"/>
          </w:tblCellMar>
        </w:tblPrEx>
        <w:trPr>
          <w:trHeight w:val="570" w:hRule="atLeast"/>
        </w:trPr>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color w:val="auto"/>
                <w:kern w:val="0"/>
                <w:sz w:val="30"/>
                <w:szCs w:val="30"/>
              </w:rPr>
            </w:pPr>
            <w:r>
              <w:rPr>
                <w:rFonts w:hint="eastAsia" w:ascii="黑体" w:hAnsi="宋体" w:eastAsia="黑体" w:cs="黑体"/>
                <w:i w:val="0"/>
                <w:iCs w:val="0"/>
                <w:color w:val="000000"/>
                <w:kern w:val="0"/>
                <w:sz w:val="30"/>
                <w:szCs w:val="30"/>
                <w:u w:val="none"/>
                <w:lang w:val="en-US" w:eastAsia="zh-CN" w:bidi="ar"/>
              </w:rPr>
              <w:t>序号</w:t>
            </w:r>
          </w:p>
        </w:tc>
        <w:tc>
          <w:tcPr>
            <w:tcW w:w="19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color w:val="auto"/>
                <w:kern w:val="0"/>
                <w:sz w:val="30"/>
                <w:szCs w:val="30"/>
              </w:rPr>
            </w:pPr>
            <w:r>
              <w:rPr>
                <w:rFonts w:hint="eastAsia" w:ascii="黑体" w:hAnsi="宋体" w:eastAsia="黑体" w:cs="黑体"/>
                <w:i w:val="0"/>
                <w:iCs w:val="0"/>
                <w:color w:val="000000"/>
                <w:kern w:val="0"/>
                <w:sz w:val="30"/>
                <w:szCs w:val="30"/>
                <w:u w:val="none"/>
                <w:lang w:val="en-US" w:eastAsia="zh-CN" w:bidi="ar"/>
              </w:rPr>
              <w:t>监管事项</w:t>
            </w:r>
          </w:p>
        </w:tc>
        <w:tc>
          <w:tcPr>
            <w:tcW w:w="34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sz w:val="30"/>
                <w:szCs w:val="30"/>
              </w:rPr>
            </w:pPr>
            <w:r>
              <w:rPr>
                <w:rFonts w:hint="eastAsia" w:ascii="黑体" w:hAnsi="宋体" w:eastAsia="黑体" w:cs="黑体"/>
                <w:i w:val="0"/>
                <w:iCs w:val="0"/>
                <w:color w:val="000000"/>
                <w:kern w:val="0"/>
                <w:sz w:val="30"/>
                <w:szCs w:val="30"/>
                <w:u w:val="none"/>
                <w:lang w:val="en-US" w:eastAsia="zh-CN" w:bidi="ar"/>
              </w:rPr>
              <w:t>法律依据</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color w:val="auto"/>
                <w:kern w:val="0"/>
                <w:sz w:val="30"/>
                <w:szCs w:val="30"/>
              </w:rPr>
            </w:pPr>
            <w:r>
              <w:rPr>
                <w:rFonts w:hint="eastAsia" w:ascii="黑体" w:hAnsi="宋体" w:eastAsia="黑体" w:cs="黑体"/>
                <w:i w:val="0"/>
                <w:iCs w:val="0"/>
                <w:color w:val="000000"/>
                <w:kern w:val="0"/>
                <w:sz w:val="30"/>
                <w:szCs w:val="30"/>
                <w:u w:val="none"/>
                <w:lang w:val="en-US" w:eastAsia="zh-CN" w:bidi="ar"/>
              </w:rPr>
              <w:t>免处罚或从轻处罚适用情形</w:t>
            </w:r>
          </w:p>
        </w:tc>
        <w:tc>
          <w:tcPr>
            <w:tcW w:w="1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color w:val="auto"/>
                <w:kern w:val="0"/>
                <w:sz w:val="30"/>
                <w:szCs w:val="30"/>
              </w:rPr>
            </w:pPr>
            <w:r>
              <w:rPr>
                <w:rFonts w:hint="eastAsia" w:ascii="黑体" w:hAnsi="宋体" w:eastAsia="黑体" w:cs="黑体"/>
                <w:i w:val="0"/>
                <w:iCs w:val="0"/>
                <w:color w:val="000000"/>
                <w:kern w:val="0"/>
                <w:sz w:val="30"/>
                <w:szCs w:val="30"/>
                <w:u w:val="none"/>
                <w:lang w:val="en-US" w:eastAsia="zh-CN" w:bidi="ar"/>
              </w:rPr>
              <w:t>违法程度</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color w:val="auto"/>
                <w:kern w:val="0"/>
                <w:sz w:val="30"/>
                <w:szCs w:val="30"/>
                <w:lang w:val="en-US" w:eastAsia="zh-CN" w:bidi="ar-SA"/>
              </w:rPr>
            </w:pPr>
            <w:r>
              <w:rPr>
                <w:rFonts w:hint="eastAsia" w:ascii="黑体" w:hAnsi="宋体" w:eastAsia="黑体" w:cs="黑体"/>
                <w:i w:val="0"/>
                <w:iCs w:val="0"/>
                <w:color w:val="000000"/>
                <w:kern w:val="0"/>
                <w:sz w:val="30"/>
                <w:szCs w:val="30"/>
                <w:u w:val="none"/>
                <w:lang w:val="en-US" w:eastAsia="zh-CN" w:bidi="ar"/>
              </w:rPr>
              <w:t>裁量幅度</w:t>
            </w:r>
          </w:p>
        </w:tc>
      </w:tr>
      <w:tr>
        <w:tblPrEx>
          <w:tblCellMar>
            <w:top w:w="0" w:type="dxa"/>
            <w:left w:w="108" w:type="dxa"/>
            <w:bottom w:w="0" w:type="dxa"/>
            <w:right w:w="108" w:type="dxa"/>
          </w:tblCellMar>
        </w:tblPrEx>
        <w:trPr>
          <w:trHeight w:val="1900" w:hRule="atLeast"/>
        </w:trPr>
        <w:tc>
          <w:tcPr>
            <w:tcW w:w="8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97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单位逾期不办理住房公积金缴存登记或者不为本单位职工办理住房公积金账户设立手续。</w:t>
            </w:r>
          </w:p>
        </w:tc>
        <w:tc>
          <w:tcPr>
            <w:tcW w:w="340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4"/>
                <w:szCs w:val="24"/>
                <w:u w:val="none"/>
                <w:lang w:val="en-US" w:eastAsia="zh-CN" w:bidi="ar"/>
              </w:rPr>
              <w:t>《住房公积金管理条例》第三十七条　违反本条例的规定，单位不办理住房公积金缴存登记或者不为本单位职工办理住房公积金账户设立手续的，由住房公积金管理中心责令限期办理；逾期不办理的，处1万元以上5万元以下的罚款。</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一、初次违法且危害后果轻微；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二、单位在收到《行政处罚决定书》之前已经办理了住房公积金缴存登记或已为全体职工办理住房公积金账户设立手续的。</w:t>
            </w:r>
          </w:p>
        </w:tc>
        <w:tc>
          <w:tcPr>
            <w:tcW w:w="1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轻微</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免于处罚</w:t>
            </w:r>
          </w:p>
        </w:tc>
      </w:tr>
      <w:tr>
        <w:tblPrEx>
          <w:tblCellMar>
            <w:top w:w="0" w:type="dxa"/>
            <w:left w:w="108" w:type="dxa"/>
            <w:bottom w:w="0" w:type="dxa"/>
            <w:right w:w="108" w:type="dxa"/>
          </w:tblCellMar>
        </w:tblPrEx>
        <w:trPr>
          <w:trHeight w:val="570" w:hRule="atLeast"/>
        </w:trPr>
        <w:tc>
          <w:tcPr>
            <w:tcW w:w="8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4"/>
                <w:szCs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4"/>
                <w:szCs w:val="24"/>
              </w:rPr>
            </w:pPr>
          </w:p>
        </w:tc>
        <w:tc>
          <w:tcPr>
            <w:tcW w:w="3400" w:type="dxa"/>
            <w:vMerge w:val="continue"/>
            <w:tcBorders>
              <w:top w:val="single" w:color="auto" w:sz="4" w:space="0"/>
              <w:left w:val="nil"/>
              <w:bottom w:val="single" w:color="auto" w:sz="4" w:space="0"/>
              <w:right w:val="single" w:color="auto" w:sz="4" w:space="0"/>
            </w:tcBorders>
            <w:noWrap w:val="0"/>
            <w:vAlign w:val="center"/>
          </w:tcPr>
          <w:p>
            <w:pPr>
              <w:jc w:val="center"/>
              <w:rPr>
                <w:sz w:val="24"/>
                <w:szCs w:val="24"/>
              </w:rPr>
            </w:pP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一、单位存在违法行为存续期间3个月以下的；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二、单位已办理了住房公积金缴存登记手续，但未为本单位职工办理住房公积金账户设立手续，人数50人以下的；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三、在对违法行为进行调查取证过程中配合调查取证的。</w:t>
            </w:r>
          </w:p>
        </w:tc>
        <w:tc>
          <w:tcPr>
            <w:tcW w:w="1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000000"/>
                <w:kern w:val="0"/>
                <w:sz w:val="24"/>
                <w:szCs w:val="24"/>
                <w:u w:val="none"/>
                <w:lang w:val="en-US" w:eastAsia="zh-CN" w:bidi="ar"/>
              </w:rPr>
              <w:t>一般</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处1万元罚款</w:t>
            </w:r>
          </w:p>
        </w:tc>
      </w:tr>
    </w:tbl>
    <w:p>
      <w:pPr>
        <w:pStyle w:val="3"/>
        <w:keepNext w:val="0"/>
        <w:keepLines w:val="0"/>
        <w:pageBreakBefore w:val="0"/>
        <w:widowControl w:val="0"/>
        <w:kinsoku/>
        <w:wordWrap/>
        <w:overflowPunct/>
        <w:topLinePunct w:val="0"/>
        <w:autoSpaceDE/>
        <w:autoSpaceDN/>
        <w:bidi w:val="0"/>
        <w:adjustRightInd/>
        <w:spacing w:line="360" w:lineRule="auto"/>
        <w:ind w:right="265"/>
        <w:textAlignment w:val="auto"/>
        <w:rPr>
          <w:rFonts w:hint="default" w:ascii="仿宋_GB2312" w:hAnsi="仿宋_GB2312" w:eastAsia="仿宋_GB2312" w:cs="仿宋_GB2312"/>
          <w:sz w:val="28"/>
          <w:szCs w:val="28"/>
          <w:lang w:val="en-US" w:eastAsia="zh-CN"/>
        </w:rPr>
      </w:pPr>
    </w:p>
    <w:sectPr>
      <w:footerReference r:id="rId3"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宋体"/>
                              <w:sz w:val="32"/>
                              <w:szCs w:val="24"/>
                            </w:rPr>
                            <w:t>—</w:t>
                          </w:r>
                          <w:r>
                            <w:rPr>
                              <w:rFonts w:hint="eastAsia" w:ascii="宋体"/>
                              <w:sz w:val="32"/>
                              <w:szCs w:val="24"/>
                            </w:rPr>
                            <w:t xml:space="preserve"> </w:t>
                          </w:r>
                          <w:r>
                            <w:rPr>
                              <w:rFonts w:ascii="宋体"/>
                              <w:sz w:val="32"/>
                              <w:szCs w:val="24"/>
                            </w:rPr>
                            <w:fldChar w:fldCharType="begin"/>
                          </w:r>
                          <w:r>
                            <w:rPr>
                              <w:rStyle w:val="9"/>
                              <w:rFonts w:ascii="宋体"/>
                              <w:sz w:val="32"/>
                              <w:szCs w:val="24"/>
                            </w:rPr>
                            <w:instrText xml:space="preserve">PAGE  </w:instrText>
                          </w:r>
                          <w:r>
                            <w:rPr>
                              <w:rFonts w:ascii="宋体"/>
                              <w:sz w:val="32"/>
                              <w:szCs w:val="24"/>
                            </w:rPr>
                            <w:fldChar w:fldCharType="separate"/>
                          </w:r>
                          <w:r>
                            <w:rPr>
                              <w:rStyle w:val="9"/>
                              <w:rFonts w:ascii="宋体"/>
                              <w:sz w:val="32"/>
                              <w:szCs w:val="24"/>
                            </w:rPr>
                            <w:t>1</w:t>
                          </w:r>
                          <w:r>
                            <w:rPr>
                              <w:rFonts w:ascii="宋体"/>
                              <w:sz w:val="32"/>
                              <w:szCs w:val="24"/>
                            </w:rPr>
                            <w:fldChar w:fldCharType="end"/>
                          </w:r>
                          <w:r>
                            <w:rPr>
                              <w:rFonts w:hint="eastAsia" w:ascii="宋体"/>
                              <w:sz w:val="32"/>
                              <w:szCs w:val="24"/>
                            </w:rPr>
                            <w:t xml:space="preserve"> </w:t>
                          </w:r>
                          <w:r>
                            <w:rPr>
                              <w:rFonts w:ascii="宋体"/>
                              <w:sz w:val="32"/>
                              <w:szCs w:val="24"/>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rPr>
                        <w:rFonts w:ascii="宋体"/>
                        <w:sz w:val="32"/>
                        <w:szCs w:val="24"/>
                      </w:rPr>
                      <w:t>—</w:t>
                    </w:r>
                    <w:r>
                      <w:rPr>
                        <w:rFonts w:hint="eastAsia" w:ascii="宋体"/>
                        <w:sz w:val="32"/>
                        <w:szCs w:val="24"/>
                      </w:rPr>
                      <w:t xml:space="preserve"> </w:t>
                    </w:r>
                    <w:r>
                      <w:rPr>
                        <w:rFonts w:ascii="宋体"/>
                        <w:sz w:val="32"/>
                        <w:szCs w:val="24"/>
                      </w:rPr>
                      <w:fldChar w:fldCharType="begin"/>
                    </w:r>
                    <w:r>
                      <w:rPr>
                        <w:rStyle w:val="9"/>
                        <w:rFonts w:ascii="宋体"/>
                        <w:sz w:val="32"/>
                        <w:szCs w:val="24"/>
                      </w:rPr>
                      <w:instrText xml:space="preserve">PAGE  </w:instrText>
                    </w:r>
                    <w:r>
                      <w:rPr>
                        <w:rFonts w:ascii="宋体"/>
                        <w:sz w:val="32"/>
                        <w:szCs w:val="24"/>
                      </w:rPr>
                      <w:fldChar w:fldCharType="separate"/>
                    </w:r>
                    <w:r>
                      <w:rPr>
                        <w:rStyle w:val="9"/>
                        <w:rFonts w:ascii="宋体"/>
                        <w:sz w:val="32"/>
                        <w:szCs w:val="24"/>
                      </w:rPr>
                      <w:t>1</w:t>
                    </w:r>
                    <w:r>
                      <w:rPr>
                        <w:rFonts w:ascii="宋体"/>
                        <w:sz w:val="32"/>
                        <w:szCs w:val="24"/>
                      </w:rPr>
                      <w:fldChar w:fldCharType="end"/>
                    </w:r>
                    <w:r>
                      <w:rPr>
                        <w:rFonts w:hint="eastAsia" w:ascii="宋体"/>
                        <w:sz w:val="32"/>
                        <w:szCs w:val="24"/>
                      </w:rPr>
                      <w:t xml:space="preserve"> </w:t>
                    </w:r>
                    <w:r>
                      <w:rPr>
                        <w:rFonts w:ascii="宋体"/>
                        <w:sz w:val="32"/>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30FD"/>
    <w:rsid w:val="011D6181"/>
    <w:rsid w:val="01586965"/>
    <w:rsid w:val="05DE73F9"/>
    <w:rsid w:val="066E3A70"/>
    <w:rsid w:val="09C770F9"/>
    <w:rsid w:val="0AD250D2"/>
    <w:rsid w:val="0D984A6B"/>
    <w:rsid w:val="0DDF6552"/>
    <w:rsid w:val="0DF63AB1"/>
    <w:rsid w:val="0E270455"/>
    <w:rsid w:val="0F477318"/>
    <w:rsid w:val="12984154"/>
    <w:rsid w:val="12E93828"/>
    <w:rsid w:val="131455FB"/>
    <w:rsid w:val="13F34AAE"/>
    <w:rsid w:val="154E1824"/>
    <w:rsid w:val="17D40480"/>
    <w:rsid w:val="1A877B90"/>
    <w:rsid w:val="20494918"/>
    <w:rsid w:val="207453E9"/>
    <w:rsid w:val="20FF2BF0"/>
    <w:rsid w:val="227D3F62"/>
    <w:rsid w:val="22CF27E7"/>
    <w:rsid w:val="25876221"/>
    <w:rsid w:val="25F177FF"/>
    <w:rsid w:val="25F87FF9"/>
    <w:rsid w:val="271144E7"/>
    <w:rsid w:val="27F62D9D"/>
    <w:rsid w:val="2CDF0FA9"/>
    <w:rsid w:val="2D1C24D1"/>
    <w:rsid w:val="30D17D99"/>
    <w:rsid w:val="330F4512"/>
    <w:rsid w:val="34037428"/>
    <w:rsid w:val="36181E92"/>
    <w:rsid w:val="3941181C"/>
    <w:rsid w:val="3BB47776"/>
    <w:rsid w:val="3E27799E"/>
    <w:rsid w:val="3E6B43BF"/>
    <w:rsid w:val="44C5322D"/>
    <w:rsid w:val="45891B9C"/>
    <w:rsid w:val="46332184"/>
    <w:rsid w:val="46952E40"/>
    <w:rsid w:val="47002166"/>
    <w:rsid w:val="47611267"/>
    <w:rsid w:val="49311563"/>
    <w:rsid w:val="4B512E75"/>
    <w:rsid w:val="4BB52A7B"/>
    <w:rsid w:val="50013FB6"/>
    <w:rsid w:val="50557896"/>
    <w:rsid w:val="516A5FD8"/>
    <w:rsid w:val="542A1D59"/>
    <w:rsid w:val="546F5088"/>
    <w:rsid w:val="54A1764E"/>
    <w:rsid w:val="54D05EF8"/>
    <w:rsid w:val="55254942"/>
    <w:rsid w:val="585A47C9"/>
    <w:rsid w:val="5A904AB0"/>
    <w:rsid w:val="5BDE250C"/>
    <w:rsid w:val="5D9208F4"/>
    <w:rsid w:val="64A12709"/>
    <w:rsid w:val="66525275"/>
    <w:rsid w:val="670D75D6"/>
    <w:rsid w:val="67A73736"/>
    <w:rsid w:val="68CD6138"/>
    <w:rsid w:val="690E7E3C"/>
    <w:rsid w:val="6A4B59CF"/>
    <w:rsid w:val="6AA52595"/>
    <w:rsid w:val="6ABA1153"/>
    <w:rsid w:val="6D5C52EE"/>
    <w:rsid w:val="709124BC"/>
    <w:rsid w:val="72A0576F"/>
    <w:rsid w:val="75177946"/>
    <w:rsid w:val="756E4AEE"/>
    <w:rsid w:val="76F756B2"/>
    <w:rsid w:val="787A5F54"/>
    <w:rsid w:val="78B8087D"/>
    <w:rsid w:val="7A594AA3"/>
    <w:rsid w:val="7BBF50FA"/>
    <w:rsid w:val="7CF240B7"/>
    <w:rsid w:val="7E957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color w:val="auto"/>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Administrator.PC-20140916ROCS</dc:creator>
  <cp:lastModifiedBy>沈文案</cp:lastModifiedBy>
  <cp:lastPrinted>2022-04-01T07:42:00Z</cp:lastPrinted>
  <dcterms:modified xsi:type="dcterms:W3CDTF">2022-04-21T08:53:57Z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