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i w:val="0"/>
          <w:iCs/>
          <w:color w:val="000000"/>
          <w:kern w:val="0"/>
          <w:sz w:val="32"/>
          <w:szCs w:val="32"/>
          <w:lang w:val="en-US" w:eastAsia="zh-CN" w:bidi="ar-SA"/>
        </w:rPr>
      </w:pPr>
      <w:bookmarkStart w:id="0" w:name="_GoBack"/>
      <w:bookmarkEnd w:id="0"/>
      <w:r>
        <w:rPr>
          <w:rFonts w:hint="eastAsia" w:ascii="黑体" w:hAnsi="黑体" w:eastAsia="黑体" w:cs="黑体"/>
          <w:b w:val="0"/>
          <w:i w:val="0"/>
          <w:iCs/>
          <w:color w:val="000000"/>
          <w:kern w:val="0"/>
          <w:sz w:val="32"/>
          <w:szCs w:val="32"/>
          <w:lang w:val="en-US" w:eastAsia="zh-CN" w:bidi="ar-SA"/>
        </w:rPr>
        <w:t>附件：</w:t>
      </w:r>
    </w:p>
    <w:tbl>
      <w:tblPr>
        <w:tblStyle w:val="7"/>
        <w:tblW w:w="0" w:type="auto"/>
        <w:tblInd w:w="93" w:type="dxa"/>
        <w:tblLayout w:type="fixed"/>
        <w:tblCellMar>
          <w:top w:w="0" w:type="dxa"/>
          <w:left w:w="108" w:type="dxa"/>
          <w:bottom w:w="0" w:type="dxa"/>
          <w:right w:w="108" w:type="dxa"/>
        </w:tblCellMar>
      </w:tblPr>
      <w:tblGrid>
        <w:gridCol w:w="824"/>
        <w:gridCol w:w="1976"/>
        <w:gridCol w:w="3400"/>
        <w:gridCol w:w="3975"/>
        <w:gridCol w:w="1825"/>
        <w:gridCol w:w="1939"/>
      </w:tblGrid>
      <w:tr>
        <w:trPr>
          <w:trHeight w:val="495" w:hRule="atLeast"/>
        </w:trPr>
        <w:tc>
          <w:tcPr>
            <w:tcW w:w="13939"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ascii="宋体" w:eastAsia="宋体" w:cs="宋体"/>
                <w:b/>
                <w:bCs/>
                <w:color w:val="auto"/>
                <w:kern w:val="0"/>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中山市住房公积金管理中心包容审慎行政执法事项清单</w:t>
            </w:r>
          </w:p>
        </w:tc>
      </w:tr>
      <w:tr>
        <w:tblPrEx>
          <w:tblCellMar>
            <w:top w:w="0" w:type="dxa"/>
            <w:left w:w="108" w:type="dxa"/>
            <w:bottom w:w="0" w:type="dxa"/>
            <w:right w:w="108" w:type="dxa"/>
          </w:tblCellMar>
        </w:tblPrEx>
        <w:trPr>
          <w:trHeight w:val="570"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color w:val="auto"/>
                <w:kern w:val="0"/>
                <w:sz w:val="30"/>
                <w:szCs w:val="30"/>
              </w:rPr>
            </w:pPr>
            <w:r>
              <w:rPr>
                <w:rFonts w:hint="eastAsia" w:ascii="黑体" w:hAnsi="宋体" w:eastAsia="黑体" w:cs="黑体"/>
                <w:i w:val="0"/>
                <w:iCs w:val="0"/>
                <w:color w:val="000000"/>
                <w:kern w:val="0"/>
                <w:sz w:val="30"/>
                <w:szCs w:val="30"/>
                <w:u w:val="none"/>
                <w:lang w:val="en-US" w:eastAsia="zh-CN" w:bidi="ar"/>
              </w:rPr>
              <w:t>序号</w:t>
            </w:r>
          </w:p>
        </w:tc>
        <w:tc>
          <w:tcPr>
            <w:tcW w:w="19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color w:val="auto"/>
                <w:kern w:val="0"/>
                <w:sz w:val="30"/>
                <w:szCs w:val="30"/>
              </w:rPr>
            </w:pPr>
            <w:r>
              <w:rPr>
                <w:rFonts w:hint="eastAsia" w:ascii="黑体" w:hAnsi="宋体" w:eastAsia="黑体" w:cs="黑体"/>
                <w:i w:val="0"/>
                <w:iCs w:val="0"/>
                <w:color w:val="000000"/>
                <w:kern w:val="0"/>
                <w:sz w:val="30"/>
                <w:szCs w:val="30"/>
                <w:u w:val="none"/>
                <w:lang w:val="en-US" w:eastAsia="zh-CN" w:bidi="ar"/>
              </w:rPr>
              <w:t>监管事项</w:t>
            </w:r>
          </w:p>
        </w:tc>
        <w:tc>
          <w:tcPr>
            <w:tcW w:w="34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sz w:val="30"/>
                <w:szCs w:val="30"/>
              </w:rPr>
            </w:pPr>
            <w:r>
              <w:rPr>
                <w:rFonts w:hint="eastAsia" w:ascii="黑体" w:hAnsi="宋体" w:eastAsia="黑体" w:cs="黑体"/>
                <w:i w:val="0"/>
                <w:iCs w:val="0"/>
                <w:color w:val="000000"/>
                <w:kern w:val="0"/>
                <w:sz w:val="30"/>
                <w:szCs w:val="30"/>
                <w:u w:val="none"/>
                <w:lang w:val="en-US" w:eastAsia="zh-CN" w:bidi="ar"/>
              </w:rPr>
              <w:t>法律依据</w:t>
            </w:r>
          </w:p>
        </w:tc>
        <w:tc>
          <w:tcPr>
            <w:tcW w:w="39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color w:val="auto"/>
                <w:kern w:val="0"/>
                <w:sz w:val="30"/>
                <w:szCs w:val="30"/>
              </w:rPr>
            </w:pPr>
            <w:r>
              <w:rPr>
                <w:rFonts w:hint="eastAsia" w:ascii="黑体" w:hAnsi="宋体" w:eastAsia="黑体" w:cs="黑体"/>
                <w:i w:val="0"/>
                <w:iCs w:val="0"/>
                <w:color w:val="000000"/>
                <w:kern w:val="0"/>
                <w:sz w:val="30"/>
                <w:szCs w:val="30"/>
                <w:u w:val="none"/>
                <w:lang w:val="en-US" w:eastAsia="zh-CN" w:bidi="ar"/>
              </w:rPr>
              <w:t>免处罚或从轻处罚适用情形</w:t>
            </w:r>
          </w:p>
        </w:tc>
        <w:tc>
          <w:tcPr>
            <w:tcW w:w="1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color w:val="auto"/>
                <w:kern w:val="0"/>
                <w:sz w:val="30"/>
                <w:szCs w:val="30"/>
              </w:rPr>
            </w:pPr>
            <w:r>
              <w:rPr>
                <w:rFonts w:hint="eastAsia" w:ascii="黑体" w:hAnsi="宋体" w:eastAsia="黑体" w:cs="黑体"/>
                <w:i w:val="0"/>
                <w:iCs w:val="0"/>
                <w:color w:val="000000"/>
                <w:kern w:val="0"/>
                <w:sz w:val="30"/>
                <w:szCs w:val="30"/>
                <w:u w:val="none"/>
                <w:lang w:val="en-US" w:eastAsia="zh-CN" w:bidi="ar"/>
              </w:rPr>
              <w:t>违法程度</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color w:val="auto"/>
                <w:kern w:val="0"/>
                <w:sz w:val="30"/>
                <w:szCs w:val="30"/>
                <w:lang w:val="en-US" w:eastAsia="zh-CN" w:bidi="ar-SA"/>
              </w:rPr>
            </w:pPr>
            <w:r>
              <w:rPr>
                <w:rFonts w:hint="eastAsia" w:ascii="黑体" w:hAnsi="宋体" w:eastAsia="黑体" w:cs="黑体"/>
                <w:i w:val="0"/>
                <w:iCs w:val="0"/>
                <w:color w:val="000000"/>
                <w:kern w:val="0"/>
                <w:sz w:val="30"/>
                <w:szCs w:val="30"/>
                <w:u w:val="none"/>
                <w:lang w:val="en-US" w:eastAsia="zh-CN" w:bidi="ar"/>
              </w:rPr>
              <w:t>裁量幅度</w:t>
            </w:r>
          </w:p>
        </w:tc>
      </w:tr>
      <w:tr>
        <w:tblPrEx>
          <w:tblCellMar>
            <w:top w:w="0" w:type="dxa"/>
            <w:left w:w="108" w:type="dxa"/>
            <w:bottom w:w="0" w:type="dxa"/>
            <w:right w:w="108" w:type="dxa"/>
          </w:tblCellMar>
        </w:tblPrEx>
        <w:trPr>
          <w:trHeight w:val="1900" w:hRule="atLeast"/>
        </w:trPr>
        <w:tc>
          <w:tcPr>
            <w:tcW w:w="8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976"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000000"/>
                <w:kern w:val="0"/>
                <w:sz w:val="24"/>
                <w:szCs w:val="24"/>
                <w:u w:val="none"/>
                <w:lang w:val="en-US" w:eastAsia="zh-CN" w:bidi="ar"/>
              </w:rPr>
              <w:t>单位逾期不办理住房公积金缴存登记或者不为本单位职工办理住房公积金账户设立手续。</w:t>
            </w:r>
          </w:p>
        </w:tc>
        <w:tc>
          <w:tcPr>
            <w:tcW w:w="340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《住房公积金管理条例》第三十七条　违反本条例的规定，单位不办理住房公积金缴存登记或者不为本单位职工办理住房公积金账户设立手续的，由住房公积金管理中心责令限期办理；逾期不办理的，处1万元以上5万元以下的罚款。</w:t>
            </w:r>
          </w:p>
        </w:tc>
        <w:tc>
          <w:tcPr>
            <w:tcW w:w="39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000000"/>
                <w:kern w:val="0"/>
                <w:sz w:val="24"/>
                <w:szCs w:val="24"/>
                <w:u w:val="none"/>
                <w:lang w:val="en-US" w:eastAsia="zh-CN" w:bidi="ar"/>
              </w:rPr>
              <w:t>一、初次违法且危害后果轻微；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二、单位在收到《行政处罚决定书》之前已经办理了住房公积金缴存登记或已为全体职工办理住房公积金账户设立手续的。</w:t>
            </w:r>
          </w:p>
        </w:tc>
        <w:tc>
          <w:tcPr>
            <w:tcW w:w="1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000000"/>
                <w:kern w:val="0"/>
                <w:sz w:val="24"/>
                <w:szCs w:val="24"/>
                <w:u w:val="none"/>
                <w:lang w:val="en-US" w:eastAsia="zh-CN" w:bidi="ar"/>
              </w:rPr>
              <w:t>轻微</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免于处罚</w:t>
            </w:r>
          </w:p>
        </w:tc>
      </w:tr>
      <w:tr>
        <w:tblPrEx>
          <w:tblCellMar>
            <w:top w:w="0" w:type="dxa"/>
            <w:left w:w="108" w:type="dxa"/>
            <w:bottom w:w="0" w:type="dxa"/>
            <w:right w:w="108" w:type="dxa"/>
          </w:tblCellMar>
        </w:tblPrEx>
        <w:trPr>
          <w:trHeight w:val="570" w:hRule="atLeast"/>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1976" w:type="dxa"/>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c>
          <w:tcPr>
            <w:tcW w:w="3400" w:type="dxa"/>
            <w:vMerge w:val="continue"/>
            <w:tcBorders>
              <w:top w:val="single" w:color="auto" w:sz="4" w:space="0"/>
              <w:left w:val="nil"/>
              <w:bottom w:val="single" w:color="auto" w:sz="4" w:space="0"/>
              <w:right w:val="single" w:color="auto" w:sz="4" w:space="0"/>
            </w:tcBorders>
            <w:noWrap w:val="0"/>
            <w:vAlign w:val="center"/>
          </w:tcPr>
          <w:p>
            <w:pPr>
              <w:jc w:val="center"/>
              <w:rPr>
                <w:sz w:val="24"/>
                <w:szCs w:val="24"/>
              </w:rPr>
            </w:pPr>
          </w:p>
        </w:tc>
        <w:tc>
          <w:tcPr>
            <w:tcW w:w="39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000000"/>
                <w:kern w:val="0"/>
                <w:sz w:val="24"/>
                <w:szCs w:val="24"/>
                <w:u w:val="none"/>
                <w:lang w:val="en-US" w:eastAsia="zh-CN" w:bidi="ar"/>
              </w:rPr>
              <w:t>一、单位存在违法行为存续期间3个月以下的；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二、单位已办理了住房公积金缴存登记手续，但未为本单位职工办理住房公积金账户设立手续，人数50人以下的；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三、在对违法行为进行调查取证过程中配合调查取证的。</w:t>
            </w:r>
          </w:p>
        </w:tc>
        <w:tc>
          <w:tcPr>
            <w:tcW w:w="1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000000"/>
                <w:kern w:val="0"/>
                <w:sz w:val="24"/>
                <w:szCs w:val="24"/>
                <w:u w:val="none"/>
                <w:lang w:val="en-US" w:eastAsia="zh-CN" w:bidi="ar"/>
              </w:rPr>
              <w:t>一般</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处1万元罚款</w:t>
            </w:r>
          </w:p>
        </w:tc>
      </w:tr>
    </w:tbl>
    <w:p>
      <w:pPr>
        <w:pStyle w:val="3"/>
        <w:keepNext w:val="0"/>
        <w:keepLines w:val="0"/>
        <w:pageBreakBefore w:val="0"/>
        <w:widowControl w:val="0"/>
        <w:kinsoku/>
        <w:wordWrap/>
        <w:overflowPunct/>
        <w:topLinePunct w:val="0"/>
        <w:autoSpaceDE/>
        <w:autoSpaceDN/>
        <w:bidi w:val="0"/>
        <w:adjustRightInd/>
        <w:spacing w:line="360" w:lineRule="auto"/>
        <w:ind w:right="265"/>
        <w:textAlignment w:val="auto"/>
        <w:rPr>
          <w:rFonts w:hint="default" w:ascii="仿宋_GB2312" w:hAnsi="仿宋_GB2312" w:eastAsia="仿宋_GB2312" w:cs="仿宋_GB2312"/>
          <w:sz w:val="28"/>
          <w:szCs w:val="28"/>
          <w:lang w:val="en-US" w:eastAsia="zh-CN"/>
        </w:rPr>
      </w:pPr>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ascii="宋体"/>
                              <w:sz w:val="32"/>
                              <w:szCs w:val="24"/>
                            </w:rPr>
                            <w:t>—</w:t>
                          </w:r>
                          <w:r>
                            <w:rPr>
                              <w:rFonts w:hint="eastAsia" w:ascii="宋体"/>
                              <w:sz w:val="32"/>
                              <w:szCs w:val="24"/>
                            </w:rPr>
                            <w:t xml:space="preserve"> </w:t>
                          </w:r>
                          <w:r>
                            <w:rPr>
                              <w:rFonts w:ascii="宋体"/>
                              <w:sz w:val="32"/>
                              <w:szCs w:val="24"/>
                            </w:rPr>
                            <w:fldChar w:fldCharType="begin"/>
                          </w:r>
                          <w:r>
                            <w:rPr>
                              <w:rStyle w:val="9"/>
                              <w:rFonts w:ascii="宋体"/>
                              <w:sz w:val="32"/>
                              <w:szCs w:val="24"/>
                            </w:rPr>
                            <w:instrText xml:space="preserve">PAGE  </w:instrText>
                          </w:r>
                          <w:r>
                            <w:rPr>
                              <w:rFonts w:ascii="宋体"/>
                              <w:sz w:val="32"/>
                              <w:szCs w:val="24"/>
                            </w:rPr>
                            <w:fldChar w:fldCharType="separate"/>
                          </w:r>
                          <w:r>
                            <w:rPr>
                              <w:rStyle w:val="9"/>
                              <w:rFonts w:ascii="宋体"/>
                              <w:sz w:val="32"/>
                              <w:szCs w:val="24"/>
                            </w:rPr>
                            <w:t>1</w:t>
                          </w:r>
                          <w:r>
                            <w:rPr>
                              <w:rFonts w:ascii="宋体"/>
                              <w:sz w:val="32"/>
                              <w:szCs w:val="24"/>
                            </w:rPr>
                            <w:fldChar w:fldCharType="end"/>
                          </w:r>
                          <w:r>
                            <w:rPr>
                              <w:rFonts w:hint="eastAsia" w:ascii="宋体"/>
                              <w:sz w:val="32"/>
                              <w:szCs w:val="24"/>
                            </w:rPr>
                            <w:t xml:space="preserve"> </w:t>
                          </w:r>
                          <w:r>
                            <w:rPr>
                              <w:rFonts w:ascii="宋体"/>
                              <w:sz w:val="32"/>
                              <w:szCs w:val="24"/>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rPr>
                        <w:rFonts w:ascii="宋体"/>
                        <w:sz w:val="32"/>
                        <w:szCs w:val="24"/>
                      </w:rPr>
                      <w:t>—</w:t>
                    </w:r>
                    <w:r>
                      <w:rPr>
                        <w:rFonts w:hint="eastAsia" w:ascii="宋体"/>
                        <w:sz w:val="32"/>
                        <w:szCs w:val="24"/>
                      </w:rPr>
                      <w:t xml:space="preserve"> </w:t>
                    </w:r>
                    <w:r>
                      <w:rPr>
                        <w:rFonts w:ascii="宋体"/>
                        <w:sz w:val="32"/>
                        <w:szCs w:val="24"/>
                      </w:rPr>
                      <w:fldChar w:fldCharType="begin"/>
                    </w:r>
                    <w:r>
                      <w:rPr>
                        <w:rStyle w:val="9"/>
                        <w:rFonts w:ascii="宋体"/>
                        <w:sz w:val="32"/>
                        <w:szCs w:val="24"/>
                      </w:rPr>
                      <w:instrText xml:space="preserve">PAGE  </w:instrText>
                    </w:r>
                    <w:r>
                      <w:rPr>
                        <w:rFonts w:ascii="宋体"/>
                        <w:sz w:val="32"/>
                        <w:szCs w:val="24"/>
                      </w:rPr>
                      <w:fldChar w:fldCharType="separate"/>
                    </w:r>
                    <w:r>
                      <w:rPr>
                        <w:rStyle w:val="9"/>
                        <w:rFonts w:ascii="宋体"/>
                        <w:sz w:val="32"/>
                        <w:szCs w:val="24"/>
                      </w:rPr>
                      <w:t>1</w:t>
                    </w:r>
                    <w:r>
                      <w:rPr>
                        <w:rFonts w:ascii="宋体"/>
                        <w:sz w:val="32"/>
                        <w:szCs w:val="24"/>
                      </w:rPr>
                      <w:fldChar w:fldCharType="end"/>
                    </w:r>
                    <w:r>
                      <w:rPr>
                        <w:rFonts w:hint="eastAsia" w:ascii="宋体"/>
                        <w:sz w:val="32"/>
                        <w:szCs w:val="24"/>
                      </w:rPr>
                      <w:t xml:space="preserve"> </w:t>
                    </w:r>
                    <w:r>
                      <w:rPr>
                        <w:rFonts w:ascii="宋体"/>
                        <w:sz w:val="32"/>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30FD"/>
    <w:rsid w:val="011D6181"/>
    <w:rsid w:val="01586965"/>
    <w:rsid w:val="05DE73F9"/>
    <w:rsid w:val="066E3A70"/>
    <w:rsid w:val="09C770F9"/>
    <w:rsid w:val="0AD250D2"/>
    <w:rsid w:val="0D984A6B"/>
    <w:rsid w:val="0DDF6552"/>
    <w:rsid w:val="0DF63AB1"/>
    <w:rsid w:val="0E270455"/>
    <w:rsid w:val="0F477318"/>
    <w:rsid w:val="12984154"/>
    <w:rsid w:val="12E93828"/>
    <w:rsid w:val="131455FB"/>
    <w:rsid w:val="13F34AAE"/>
    <w:rsid w:val="154E1824"/>
    <w:rsid w:val="17D40480"/>
    <w:rsid w:val="1A877B90"/>
    <w:rsid w:val="20494918"/>
    <w:rsid w:val="207453E9"/>
    <w:rsid w:val="20FF2BF0"/>
    <w:rsid w:val="227D3F62"/>
    <w:rsid w:val="22CF27E7"/>
    <w:rsid w:val="25876221"/>
    <w:rsid w:val="25F177FF"/>
    <w:rsid w:val="25F87FF9"/>
    <w:rsid w:val="271144E7"/>
    <w:rsid w:val="27F62D9D"/>
    <w:rsid w:val="2CDF0FA9"/>
    <w:rsid w:val="2D1C24D1"/>
    <w:rsid w:val="30D17D99"/>
    <w:rsid w:val="330F4512"/>
    <w:rsid w:val="34037428"/>
    <w:rsid w:val="36181E92"/>
    <w:rsid w:val="3941181C"/>
    <w:rsid w:val="3BB47776"/>
    <w:rsid w:val="3E27799E"/>
    <w:rsid w:val="3E6B43BF"/>
    <w:rsid w:val="44C5322D"/>
    <w:rsid w:val="45891B9C"/>
    <w:rsid w:val="46332184"/>
    <w:rsid w:val="46952E40"/>
    <w:rsid w:val="47002166"/>
    <w:rsid w:val="47611267"/>
    <w:rsid w:val="49311563"/>
    <w:rsid w:val="4B512E75"/>
    <w:rsid w:val="4BB52A7B"/>
    <w:rsid w:val="50013FB6"/>
    <w:rsid w:val="50557896"/>
    <w:rsid w:val="516A5FD8"/>
    <w:rsid w:val="542A1D59"/>
    <w:rsid w:val="546F5088"/>
    <w:rsid w:val="54A1764E"/>
    <w:rsid w:val="54D05EF8"/>
    <w:rsid w:val="55254942"/>
    <w:rsid w:val="585A47C9"/>
    <w:rsid w:val="5A904AB0"/>
    <w:rsid w:val="5BDE250C"/>
    <w:rsid w:val="5D9208F4"/>
    <w:rsid w:val="64A12709"/>
    <w:rsid w:val="66525275"/>
    <w:rsid w:val="670D75D6"/>
    <w:rsid w:val="67A73736"/>
    <w:rsid w:val="68CD6138"/>
    <w:rsid w:val="690E7E3C"/>
    <w:rsid w:val="6A4B59CF"/>
    <w:rsid w:val="6AA52595"/>
    <w:rsid w:val="6ABA1153"/>
    <w:rsid w:val="6D5C52EE"/>
    <w:rsid w:val="709124BC"/>
    <w:rsid w:val="72A0576F"/>
    <w:rsid w:val="75177946"/>
    <w:rsid w:val="756E4AEE"/>
    <w:rsid w:val="76F756B2"/>
    <w:rsid w:val="787A5F54"/>
    <w:rsid w:val="78B8087D"/>
    <w:rsid w:val="7A594AA3"/>
    <w:rsid w:val="7BBF50FA"/>
    <w:rsid w:val="7CF240B7"/>
    <w:rsid w:val="7E957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color w:val="auto"/>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Administrator.PC-20140916ROCS</dc:creator>
  <cp:lastModifiedBy>沈文案</cp:lastModifiedBy>
  <cp:lastPrinted>2022-04-01T07:42:00Z</cp:lastPrinted>
  <dcterms:modified xsi:type="dcterms:W3CDTF">2022-04-21T08:53:57Z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