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附件2：</w:t>
      </w:r>
    </w:p>
    <w:p>
      <w:pPr>
        <w:pStyle w:val="4"/>
        <w:keepNext/>
        <w:keepLines/>
        <w:jc w:val="center"/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  <w:t>定期存款利率报价表</w:t>
      </w: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中山市住房公积金管理中心：</w:t>
      </w:r>
    </w:p>
    <w:p>
      <w:pPr>
        <w:pStyle w:val="5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根据贵中心报价指令要求，现我行对存款种类利率上浮率报价如下：</w:t>
      </w:r>
    </w:p>
    <w:tbl>
      <w:tblPr>
        <w:tblStyle w:val="7"/>
        <w:tblW w:w="14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163"/>
        <w:gridCol w:w="1860"/>
        <w:gridCol w:w="1080"/>
        <w:gridCol w:w="1740"/>
        <w:gridCol w:w="1466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（价格评分分值20分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基准利率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加点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承诺的利率水平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起存金额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报价要求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524" w:type="dxa"/>
            <w:gridSpan w:val="2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七天通知存款利率水平报价（2分）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不低于50BP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6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一年期存款利率水平报价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单位整存整取定期存款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（4.5分）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加点不低于50BP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6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 w:bidi="ar-SA"/>
              </w:rPr>
              <w:t>单位大额定期存单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（4.5分）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加点不低于60BP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6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三年期存款利率水平报价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单位整存整取定期存款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（4.5分）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加点不低于40BP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6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 w:bidi="ar-SA"/>
              </w:rPr>
              <w:t>单位大额定期存单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（4.5分）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加点不低于50BP</w:t>
            </w:r>
          </w:p>
        </w:tc>
      </w:tr>
    </w:tbl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在服务期间，遇金融政策调整导致中标利率无法履行的，经双方协商同意后作相应调整并按最新规定执行。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spacing w:line="300" w:lineRule="auto"/>
        <w:ind w:firstLine="8400" w:firstLineChars="30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名称（盖章）：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 xml:space="preserve">                   </w:t>
      </w:r>
    </w:p>
    <w:p>
      <w:pPr>
        <w:adjustRightInd w:val="0"/>
        <w:snapToGrid w:val="0"/>
        <w:spacing w:line="300" w:lineRule="auto"/>
        <w:ind w:firstLine="10080" w:firstLineChars="36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日期：   年   月   日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61F7"/>
    <w:rsid w:val="0A8D430F"/>
    <w:rsid w:val="17BC35F7"/>
    <w:rsid w:val="2A2561F7"/>
    <w:rsid w:val="2AEB0148"/>
    <w:rsid w:val="537A014F"/>
    <w:rsid w:val="563B4633"/>
    <w:rsid w:val="5B9F3B64"/>
    <w:rsid w:val="62336B27"/>
    <w:rsid w:val="7E5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basedOn w:val="1"/>
    <w:next w:val="5"/>
    <w:qFormat/>
    <w:uiPriority w:val="99"/>
    <w:pPr>
      <w:widowControl w:val="0"/>
      <w:spacing w:line="360" w:lineRule="auto"/>
      <w:jc w:val="both"/>
      <w:outlineLvl w:val="2"/>
    </w:pPr>
    <w:rPr>
      <w:rFonts w:ascii="宋体" w:cs="宋体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 w:cs="Calibri"/>
      <w:sz w:val="20"/>
      <w:szCs w:val="20"/>
    </w:rPr>
  </w:style>
  <w:style w:type="paragraph" w:styleId="3">
    <w:name w:val="toc 5"/>
    <w:basedOn w:val="1"/>
    <w:next w:val="1"/>
    <w:semiHidden/>
    <w:uiPriority w:val="99"/>
    <w:pPr>
      <w:widowControl w:val="0"/>
      <w:ind w:left="1680" w:leftChars="800"/>
      <w:jc w:val="both"/>
    </w:pPr>
    <w:rPr>
      <w:kern w:val="2"/>
    </w:rPr>
  </w:style>
  <w:style w:type="paragraph" w:styleId="5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/>
      <w:sz w:val="24"/>
      <w:szCs w:val="24"/>
    </w:rPr>
  </w:style>
  <w:style w:type="paragraph" w:styleId="6">
    <w:name w:val="Plain Text"/>
    <w:basedOn w:val="1"/>
    <w:qFormat/>
    <w:uiPriority w:val="0"/>
    <w:pPr>
      <w:widowControl w:val="0"/>
      <w:jc w:val="both"/>
    </w:pPr>
    <w:rPr>
      <w:rFonts w:ascii="宋体" w:hAnsi="Courier New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2022-06-02T03:06:00Z</dcterms:created>
  <dc:creator>水皮Y</dc:creator>
  <cp:lastModifiedBy>水皮Y</cp:lastModifiedBy>
  <cp:lastPrinted>2022-06-06T07:11:00Z</cp:lastPrinted>
  <dcterms:modified xsi:type="dcterms:W3CDTF">2022-06-06T07:41:45Z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