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宋体" w:hAnsi="宋体" w:eastAsia="宋体" w:cs="宋体"/>
          <w:b/>
          <w:bCs/>
          <w:sz w:val="44"/>
          <w:szCs w:val="44"/>
          <w:highlight w:val="none"/>
          <w:lang w:eastAsia="zh-CN"/>
        </w:rPr>
      </w:pPr>
      <w:r>
        <w:rPr>
          <w:rFonts w:hint="eastAsia" w:ascii="宋体" w:hAnsi="宋体" w:eastAsia="宋体" w:cs="宋体"/>
          <w:b/>
          <w:bCs/>
          <w:sz w:val="44"/>
          <w:szCs w:val="44"/>
          <w:highlight w:val="none"/>
          <w:lang w:eastAsia="zh-CN"/>
        </w:rPr>
        <w:t>中山市住房公积金商转公贷款</w:t>
      </w:r>
      <w:r>
        <w:rPr>
          <w:rFonts w:hint="eastAsia" w:ascii="宋体" w:hAnsi="宋体" w:cs="宋体"/>
          <w:b/>
          <w:bCs/>
          <w:sz w:val="44"/>
          <w:szCs w:val="44"/>
          <w:highlight w:val="none"/>
          <w:lang w:eastAsia="zh-CN"/>
        </w:rPr>
        <w:t>操作</w:t>
      </w:r>
      <w:r>
        <w:rPr>
          <w:rFonts w:hint="eastAsia" w:ascii="宋体" w:hAnsi="宋体" w:eastAsia="宋体" w:cs="宋体"/>
          <w:b/>
          <w:bCs/>
          <w:sz w:val="44"/>
          <w:szCs w:val="44"/>
          <w:highlight w:val="none"/>
          <w:lang w:eastAsia="zh-CN"/>
        </w:rPr>
        <w:t>细则</w:t>
      </w:r>
      <w:r>
        <w:rPr>
          <w:rFonts w:hint="eastAsia" w:ascii="宋体" w:hAnsi="宋体" w:cs="宋体"/>
          <w:b/>
          <w:bCs/>
          <w:sz w:val="44"/>
          <w:szCs w:val="44"/>
          <w:highlight w:val="none"/>
          <w:lang w:val="en-US" w:eastAsia="zh-CN"/>
        </w:rPr>
        <w:t xml:space="preserve"> </w:t>
      </w:r>
    </w:p>
    <w:p>
      <w:pPr>
        <w:rPr>
          <w:rFonts w:hint="eastAsia" w:ascii="仿宋" w:hAnsi="仿宋" w:eastAsia="仿宋" w:cs="仿宋"/>
          <w:sz w:val="32"/>
          <w:szCs w:val="32"/>
          <w:highlight w:val="none"/>
          <w:lang w:eastAsia="zh-CN"/>
        </w:rPr>
      </w:pPr>
    </w:p>
    <w:p>
      <w:pPr>
        <w:widowControl w:val="0"/>
        <w:numPr>
          <w:numId w:val="0"/>
        </w:numPr>
        <w:wordWrap/>
        <w:adjustRightInd/>
        <w:snapToGrid w:val="0"/>
        <w:spacing w:line="360" w:lineRule="auto"/>
        <w:ind w:right="0" w:firstLine="64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为落实</w:t>
      </w:r>
      <w:r>
        <w:rPr>
          <w:rFonts w:hint="eastAsia" w:ascii="仿宋_GB2312" w:hAnsi="仿宋_GB2312" w:eastAsia="仿宋_GB2312" w:cs="仿宋_GB2312"/>
          <w:b w:val="0"/>
          <w:bCs w:val="0"/>
          <w:sz w:val="32"/>
          <w:szCs w:val="32"/>
          <w:highlight w:val="none"/>
          <w:lang w:eastAsia="zh-CN"/>
        </w:rPr>
        <w:t>中山市住房和城乡建设局等</w:t>
      </w:r>
      <w:r>
        <w:rPr>
          <w:rFonts w:hint="eastAsia" w:ascii="仿宋_GB2312" w:hAnsi="仿宋_GB2312" w:eastAsia="仿宋_GB2312" w:cs="仿宋_GB2312"/>
          <w:b w:val="0"/>
          <w:bCs w:val="0"/>
          <w:sz w:val="32"/>
          <w:szCs w:val="32"/>
          <w:highlight w:val="none"/>
          <w:lang w:val="en-US" w:eastAsia="zh-CN"/>
        </w:rPr>
        <w:t>6部门</w:t>
      </w:r>
      <w:r>
        <w:rPr>
          <w:rFonts w:hint="eastAsia" w:ascii="仿宋_GB2312" w:hAnsi="仿宋_GB2312" w:eastAsia="仿宋_GB2312" w:cs="仿宋_GB2312"/>
          <w:sz w:val="32"/>
          <w:szCs w:val="32"/>
          <w:highlight w:val="none"/>
          <w:lang w:val="en-US" w:eastAsia="zh-CN"/>
        </w:rPr>
        <w:t>《关于促进房地产市场平稳健康发展的通知》有关要求，规范商业住房贷款转住房公积金贷款（以下简称“商转公贷款”）操作，根据《住房公积金管理条例》《中山市住房公积金个人住房贷款实施细则》等有关文件规定，结合我市实际，制定本操作细则。</w:t>
      </w:r>
    </w:p>
    <w:p>
      <w:pPr>
        <w:widowControl w:val="0"/>
        <w:numPr>
          <w:numId w:val="0"/>
        </w:numPr>
        <w:wordWrap/>
        <w:adjustRightInd/>
        <w:snapToGrid w:val="0"/>
        <w:spacing w:line="360" w:lineRule="auto"/>
        <w:ind w:right="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一、本细则所称商转公贷款是指</w:t>
      </w:r>
      <w:r>
        <w:rPr>
          <w:rFonts w:hint="eastAsia" w:ascii="仿宋_GB2312" w:hAnsi="仿宋_GB2312" w:eastAsia="仿宋_GB2312" w:cs="仿宋_GB2312"/>
          <w:kern w:val="0"/>
          <w:sz w:val="32"/>
          <w:szCs w:val="32"/>
          <w:highlight w:val="none"/>
        </w:rPr>
        <w:t>缴存职工在本市行政区域内办理纯住房商业性贷款</w:t>
      </w:r>
      <w:r>
        <w:rPr>
          <w:rFonts w:hint="eastAsia" w:ascii="仿宋_GB2312" w:hAnsi="仿宋_GB2312" w:eastAsia="仿宋_GB2312" w:cs="仿宋_GB2312"/>
          <w:kern w:val="0"/>
          <w:sz w:val="32"/>
          <w:szCs w:val="32"/>
          <w:highlight w:val="none"/>
          <w:lang w:eastAsia="zh-CN"/>
        </w:rPr>
        <w:t>（以下简称“商业贷款”）</w:t>
      </w:r>
      <w:r>
        <w:rPr>
          <w:rFonts w:hint="eastAsia" w:ascii="仿宋_GB2312" w:hAnsi="仿宋_GB2312" w:eastAsia="仿宋_GB2312" w:cs="仿宋_GB2312"/>
          <w:kern w:val="0"/>
          <w:sz w:val="32"/>
          <w:szCs w:val="32"/>
          <w:highlight w:val="none"/>
        </w:rPr>
        <w:t>购买自住住房的，尚未结清原</w:t>
      </w:r>
      <w:r>
        <w:rPr>
          <w:rFonts w:hint="eastAsia" w:ascii="仿宋_GB2312" w:hAnsi="仿宋_GB2312" w:eastAsia="仿宋_GB2312" w:cs="仿宋_GB2312"/>
          <w:kern w:val="0"/>
          <w:sz w:val="32"/>
          <w:szCs w:val="32"/>
          <w:highlight w:val="none"/>
          <w:lang w:eastAsia="zh-CN"/>
        </w:rPr>
        <w:t>商业贷款</w:t>
      </w:r>
      <w:r>
        <w:rPr>
          <w:rFonts w:hint="eastAsia" w:ascii="仿宋_GB2312" w:hAnsi="仿宋_GB2312" w:eastAsia="仿宋_GB2312" w:cs="仿宋_GB2312"/>
          <w:kern w:val="0"/>
          <w:sz w:val="32"/>
          <w:szCs w:val="32"/>
          <w:highlight w:val="none"/>
        </w:rPr>
        <w:t>，如符合住房公积金贷款</w:t>
      </w:r>
      <w:r>
        <w:rPr>
          <w:rFonts w:hint="eastAsia" w:ascii="仿宋_GB2312" w:hAnsi="仿宋_GB2312" w:eastAsia="仿宋_GB2312" w:cs="仿宋_GB2312"/>
          <w:kern w:val="0"/>
          <w:sz w:val="32"/>
          <w:szCs w:val="32"/>
          <w:highlight w:val="none"/>
          <w:lang w:eastAsia="zh-CN"/>
        </w:rPr>
        <w:t>（以下简称“公积金贷款”）</w:t>
      </w:r>
      <w:r>
        <w:rPr>
          <w:rFonts w:hint="eastAsia" w:ascii="仿宋_GB2312" w:hAnsi="仿宋_GB2312" w:eastAsia="仿宋_GB2312" w:cs="仿宋_GB2312"/>
          <w:kern w:val="0"/>
          <w:sz w:val="32"/>
          <w:szCs w:val="32"/>
          <w:highlight w:val="none"/>
        </w:rPr>
        <w:t>条件，且取得原</w:t>
      </w:r>
      <w:r>
        <w:rPr>
          <w:rFonts w:hint="eastAsia" w:ascii="仿宋_GB2312" w:hAnsi="仿宋_GB2312" w:eastAsia="仿宋_GB2312" w:cs="仿宋_GB2312"/>
          <w:kern w:val="0"/>
          <w:sz w:val="32"/>
          <w:szCs w:val="32"/>
          <w:highlight w:val="none"/>
          <w:lang w:eastAsia="zh-CN"/>
        </w:rPr>
        <w:t>商业贷款</w:t>
      </w:r>
      <w:r>
        <w:rPr>
          <w:rFonts w:hint="eastAsia" w:ascii="仿宋_GB2312" w:hAnsi="仿宋_GB2312" w:eastAsia="仿宋_GB2312" w:cs="仿宋_GB2312"/>
          <w:kern w:val="0"/>
          <w:sz w:val="32"/>
          <w:szCs w:val="32"/>
          <w:highlight w:val="none"/>
        </w:rPr>
        <w:t>银行同意的前提下，可以申请</w:t>
      </w:r>
      <w:r>
        <w:rPr>
          <w:rFonts w:hint="eastAsia" w:ascii="仿宋_GB2312" w:hAnsi="仿宋_GB2312" w:eastAsia="仿宋_GB2312" w:cs="仿宋_GB2312"/>
          <w:kern w:val="0"/>
          <w:sz w:val="32"/>
          <w:szCs w:val="32"/>
          <w:highlight w:val="none"/>
          <w:lang w:eastAsia="zh-CN"/>
        </w:rPr>
        <w:t>公积金贷款</w:t>
      </w:r>
      <w:r>
        <w:rPr>
          <w:rFonts w:hint="eastAsia" w:ascii="仿宋_GB2312" w:hAnsi="仿宋_GB2312" w:eastAsia="仿宋_GB2312" w:cs="仿宋_GB2312"/>
          <w:kern w:val="0"/>
          <w:sz w:val="32"/>
          <w:szCs w:val="32"/>
          <w:highlight w:val="none"/>
        </w:rPr>
        <w:t>部分或者全部偿还原</w:t>
      </w:r>
      <w:r>
        <w:rPr>
          <w:rFonts w:hint="eastAsia" w:ascii="仿宋_GB2312" w:hAnsi="仿宋_GB2312" w:eastAsia="仿宋_GB2312" w:cs="仿宋_GB2312"/>
          <w:kern w:val="0"/>
          <w:sz w:val="32"/>
          <w:szCs w:val="32"/>
          <w:highlight w:val="none"/>
          <w:lang w:eastAsia="zh-CN"/>
        </w:rPr>
        <w:t>商业贷款</w:t>
      </w:r>
      <w:r>
        <w:rPr>
          <w:rFonts w:hint="eastAsia" w:ascii="仿宋_GB2312" w:hAnsi="仿宋_GB2312" w:eastAsia="仿宋_GB2312" w:cs="仿宋_GB2312"/>
          <w:kern w:val="0"/>
          <w:sz w:val="32"/>
          <w:szCs w:val="32"/>
          <w:highlight w:val="none"/>
        </w:rPr>
        <w:t>。</w:t>
      </w:r>
    </w:p>
    <w:p>
      <w:pPr>
        <w:widowControl w:val="0"/>
        <w:numPr>
          <w:numId w:val="0"/>
        </w:numPr>
        <w:wordWrap/>
        <w:adjustRightInd/>
        <w:snapToGrid w:val="0"/>
        <w:spacing w:line="360" w:lineRule="auto"/>
        <w:ind w:leftChars="0" w:right="0" w:firstLine="641"/>
        <w:jc w:val="both"/>
        <w:textAlignment w:val="auto"/>
        <w:outlineLvl w:val="9"/>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商转公贷款包括纯</w:t>
      </w:r>
      <w:r>
        <w:rPr>
          <w:rFonts w:hint="eastAsia" w:ascii="仿宋_GB2312" w:hAnsi="仿宋_GB2312" w:eastAsia="仿宋_GB2312" w:cs="仿宋_GB2312"/>
          <w:kern w:val="0"/>
          <w:sz w:val="32"/>
          <w:szCs w:val="32"/>
          <w:highlight w:val="none"/>
          <w:lang w:eastAsia="zh-CN"/>
        </w:rPr>
        <w:t>商业贷款</w:t>
      </w:r>
      <w:r>
        <w:rPr>
          <w:rFonts w:hint="eastAsia" w:ascii="仿宋_GB2312" w:hAnsi="仿宋_GB2312" w:eastAsia="仿宋_GB2312" w:cs="仿宋_GB2312"/>
          <w:kern w:val="0"/>
          <w:sz w:val="32"/>
          <w:szCs w:val="32"/>
          <w:highlight w:val="none"/>
          <w:lang w:val="en-US" w:eastAsia="zh-CN"/>
        </w:rPr>
        <w:t>转为纯公积金贷款及纯</w:t>
      </w:r>
      <w:r>
        <w:rPr>
          <w:rFonts w:hint="eastAsia" w:ascii="仿宋_GB2312" w:hAnsi="仿宋_GB2312" w:eastAsia="仿宋_GB2312" w:cs="仿宋_GB2312"/>
          <w:kern w:val="0"/>
          <w:sz w:val="32"/>
          <w:szCs w:val="32"/>
          <w:highlight w:val="none"/>
          <w:lang w:eastAsia="zh-CN"/>
        </w:rPr>
        <w:t>商业贷款</w:t>
      </w:r>
      <w:r>
        <w:rPr>
          <w:rFonts w:hint="eastAsia" w:ascii="仿宋_GB2312" w:hAnsi="仿宋_GB2312" w:eastAsia="仿宋_GB2312" w:cs="仿宋_GB2312"/>
          <w:kern w:val="0"/>
          <w:sz w:val="32"/>
          <w:szCs w:val="32"/>
          <w:highlight w:val="none"/>
          <w:lang w:val="en-US" w:eastAsia="zh-CN"/>
        </w:rPr>
        <w:t>转为商业和公积金组合贷款。</w:t>
      </w:r>
    </w:p>
    <w:p>
      <w:pPr>
        <w:widowControl w:val="0"/>
        <w:numPr>
          <w:numId w:val="0"/>
        </w:numPr>
        <w:wordWrap/>
        <w:adjustRightInd/>
        <w:snapToGrid w:val="0"/>
        <w:spacing w:line="360" w:lineRule="auto"/>
        <w:ind w:leftChars="0" w:right="0" w:firstLine="641"/>
        <w:jc w:val="both"/>
        <w:textAlignment w:val="auto"/>
        <w:outlineLvl w:val="9"/>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住房公积金组合贷款中的商业贷款部分不能办理商转公贷款。</w:t>
      </w:r>
    </w:p>
    <w:p>
      <w:pPr>
        <w:widowControl w:val="0"/>
        <w:numPr>
          <w:numId w:val="0"/>
        </w:numPr>
        <w:wordWrap/>
        <w:adjustRightInd/>
        <w:snapToGrid w:val="0"/>
        <w:spacing w:line="360" w:lineRule="auto"/>
        <w:ind w:right="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w:t>
      </w:r>
      <w:r>
        <w:rPr>
          <w:rFonts w:hint="eastAsia" w:ascii="黑体" w:hAnsi="黑体" w:eastAsia="黑体" w:cs="黑体"/>
          <w:sz w:val="32"/>
          <w:szCs w:val="32"/>
          <w:highlight w:val="none"/>
          <w:lang w:val="en-US" w:eastAsia="zh-CN"/>
        </w:rPr>
        <w:t>二、商转公申请对象</w:t>
      </w:r>
    </w:p>
    <w:p>
      <w:pPr>
        <w:widowControl w:val="0"/>
        <w:numPr>
          <w:numId w:val="0"/>
        </w:numPr>
        <w:wordWrap/>
        <w:adjustRightInd/>
        <w:snapToGrid w:val="0"/>
        <w:spacing w:line="360" w:lineRule="auto"/>
        <w:ind w:right="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申请对象须同时符合以下条件：</w:t>
      </w:r>
    </w:p>
    <w:p>
      <w:pPr>
        <w:widowControl w:val="0"/>
        <w:numPr>
          <w:ilvl w:val="0"/>
          <w:numId w:val="1"/>
        </w:numPr>
        <w:wordWrap/>
        <w:adjustRightInd/>
        <w:snapToGrid w:val="0"/>
        <w:spacing w:line="360" w:lineRule="auto"/>
        <w:ind w:left="0" w:right="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申请人、共同申请人为我市缴存住房公积金的职工；</w:t>
      </w:r>
    </w:p>
    <w:p>
      <w:pPr>
        <w:widowControl w:val="0"/>
        <w:numPr>
          <w:ilvl w:val="0"/>
          <w:numId w:val="1"/>
        </w:numPr>
        <w:wordWrap/>
        <w:adjustRightInd/>
        <w:snapToGrid w:val="0"/>
        <w:spacing w:line="360" w:lineRule="auto"/>
        <w:ind w:left="0" w:right="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申请人、共同申请人符合我市现行公积金贷款申请条件;</w:t>
      </w:r>
    </w:p>
    <w:p>
      <w:pPr>
        <w:widowControl w:val="0"/>
        <w:numPr>
          <w:ilvl w:val="0"/>
          <w:numId w:val="1"/>
        </w:numPr>
        <w:wordWrap/>
        <w:adjustRightInd/>
        <w:snapToGrid w:val="0"/>
        <w:spacing w:line="360" w:lineRule="auto"/>
        <w:ind w:left="0" w:right="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申请人为申请商转公贷款住房的产权人，配偶可以作为共同申请人。</w:t>
      </w:r>
    </w:p>
    <w:p>
      <w:pPr>
        <w:widowControl w:val="0"/>
        <w:numPr>
          <w:numId w:val="0"/>
        </w:numPr>
        <w:wordWrap/>
        <w:adjustRightInd/>
        <w:snapToGrid w:val="0"/>
        <w:spacing w:line="360" w:lineRule="auto"/>
        <w:ind w:right="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w:t>
      </w:r>
      <w:r>
        <w:rPr>
          <w:rFonts w:hint="eastAsia" w:ascii="黑体" w:hAnsi="黑体" w:eastAsia="黑体" w:cs="黑体"/>
          <w:sz w:val="32"/>
          <w:szCs w:val="32"/>
          <w:highlight w:val="none"/>
          <w:lang w:val="en-US" w:eastAsia="zh-CN"/>
        </w:rPr>
        <w:t xml:space="preserve"> 三、商转公条件</w:t>
      </w:r>
    </w:p>
    <w:p>
      <w:pPr>
        <w:widowControl w:val="0"/>
        <w:numPr>
          <w:numId w:val="0"/>
        </w:numPr>
        <w:wordWrap/>
        <w:adjustRightInd/>
        <w:snapToGrid w:val="0"/>
        <w:spacing w:line="360" w:lineRule="auto"/>
        <w:ind w:right="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申请商转公贷款须同时符合以下条件：</w:t>
      </w:r>
    </w:p>
    <w:p>
      <w:pPr>
        <w:widowControl w:val="0"/>
        <w:numPr>
          <w:ilvl w:val="0"/>
          <w:numId w:val="2"/>
        </w:numPr>
        <w:wordWrap/>
        <w:adjustRightInd/>
        <w:snapToGrid w:val="0"/>
        <w:spacing w:line="360" w:lineRule="auto"/>
        <w:ind w:right="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申请人应当在本市商业银行已办理了用于购买</w:t>
      </w:r>
      <w:r>
        <w:rPr>
          <w:rFonts w:hint="eastAsia" w:ascii="仿宋_GB2312" w:hAnsi="仿宋_GB2312" w:eastAsia="仿宋_GB2312" w:cs="仿宋_GB2312"/>
          <w:color w:val="auto"/>
          <w:sz w:val="32"/>
          <w:szCs w:val="32"/>
          <w:highlight w:val="none"/>
          <w:lang w:val="en-US" w:eastAsia="zh-CN"/>
        </w:rPr>
        <w:t>本市行政区域内</w:t>
      </w:r>
      <w:r>
        <w:rPr>
          <w:rFonts w:hint="eastAsia" w:ascii="仿宋_GB2312" w:hAnsi="仿宋_GB2312" w:eastAsia="仿宋_GB2312" w:cs="仿宋_GB2312"/>
          <w:sz w:val="32"/>
          <w:szCs w:val="32"/>
          <w:highlight w:val="none"/>
          <w:lang w:val="en-US" w:eastAsia="zh-CN"/>
        </w:rPr>
        <w:t>的自住住房的商业贷款;</w:t>
      </w:r>
    </w:p>
    <w:p>
      <w:pPr>
        <w:widowControl w:val="0"/>
        <w:numPr>
          <w:ilvl w:val="0"/>
          <w:numId w:val="2"/>
        </w:numPr>
        <w:wordWrap/>
        <w:adjustRightInd/>
        <w:snapToGrid w:val="0"/>
        <w:spacing w:line="360" w:lineRule="auto"/>
        <w:ind w:right="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原商业贷款已正常还款一年以上，且该贷款尚未结清处于正常还款状态。如原商业贷款处于逾期状态或累计逾期超3期，不予受理；</w:t>
      </w:r>
    </w:p>
    <w:p>
      <w:pPr>
        <w:widowControl w:val="0"/>
        <w:numPr>
          <w:ilvl w:val="0"/>
          <w:numId w:val="2"/>
        </w:numPr>
        <w:wordWrap/>
        <w:adjustRightInd/>
        <w:snapToGrid w:val="0"/>
        <w:spacing w:line="360" w:lineRule="auto"/>
        <w:ind w:right="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申请商转公的住房已取得不动产权证书（或房产证及土地证），该住房当前仅存在原商业贷款抵押登记，且无查封等权利限制；</w:t>
      </w:r>
    </w:p>
    <w:p>
      <w:pPr>
        <w:widowControl w:val="0"/>
        <w:numPr>
          <w:ilvl w:val="0"/>
          <w:numId w:val="2"/>
        </w:numPr>
        <w:wordWrap/>
        <w:adjustRightInd/>
        <w:snapToGrid w:val="0"/>
        <w:spacing w:line="360" w:lineRule="auto"/>
        <w:ind w:right="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须获原商业贷款银行同意，并由原商业贷款银行出具《商业性贷款转公积金住房贷款同意书》。</w:t>
      </w:r>
    </w:p>
    <w:p>
      <w:pPr>
        <w:widowControl w:val="0"/>
        <w:numPr>
          <w:numId w:val="0"/>
        </w:numPr>
        <w:wordWrap/>
        <w:adjustRightInd/>
        <w:snapToGrid w:val="0"/>
        <w:spacing w:line="360" w:lineRule="auto"/>
        <w:ind w:right="0"/>
        <w:jc w:val="both"/>
        <w:textAlignment w:val="auto"/>
        <w:outlineLvl w:val="9"/>
        <w:rPr>
          <w:rFonts w:hint="eastAsia" w:ascii="黑体" w:hAnsi="黑体" w:eastAsia="黑体" w:cs="黑体"/>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w:t>
      </w:r>
      <w:r>
        <w:rPr>
          <w:rFonts w:hint="eastAsia" w:ascii="黑体" w:hAnsi="黑体" w:eastAsia="黑体" w:cs="黑体"/>
          <w:sz w:val="32"/>
          <w:szCs w:val="32"/>
          <w:highlight w:val="none"/>
          <w:lang w:val="en-US" w:eastAsia="zh-CN"/>
        </w:rPr>
        <w:t>四、商转公贷款额度</w:t>
      </w:r>
    </w:p>
    <w:p>
      <w:pPr>
        <w:widowControl w:val="0"/>
        <w:numPr>
          <w:numId w:val="0"/>
        </w:numPr>
        <w:wordWrap/>
        <w:adjustRightInd/>
        <w:snapToGrid w:val="0"/>
        <w:spacing w:line="360" w:lineRule="auto"/>
        <w:ind w:left="0" w:right="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符合申请时执行的公积金贷款额度规则，且申请额度应同时符合以下条件：</w:t>
      </w:r>
    </w:p>
    <w:p>
      <w:pPr>
        <w:widowControl w:val="0"/>
        <w:numPr>
          <w:ilvl w:val="0"/>
          <w:numId w:val="3"/>
        </w:numPr>
        <w:wordWrap/>
        <w:adjustRightInd/>
        <w:snapToGrid w:val="0"/>
        <w:spacing w:line="360" w:lineRule="auto"/>
        <w:ind w:left="0" w:right="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不超过当前执行的住房公积金最高贷款额度；</w:t>
      </w:r>
    </w:p>
    <w:p>
      <w:pPr>
        <w:widowControl w:val="0"/>
        <w:numPr>
          <w:ilvl w:val="0"/>
          <w:numId w:val="3"/>
        </w:numPr>
        <w:wordWrap/>
        <w:adjustRightInd/>
        <w:snapToGrid w:val="0"/>
        <w:spacing w:line="360" w:lineRule="auto"/>
        <w:ind w:left="0" w:right="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不超过申请时原商业贷款余额减去以本套房产首付款提取公积金的金额及6期原商业贷款月还款本息金额（即：</w:t>
      </w:r>
      <w:r>
        <w:rPr>
          <w:rFonts w:hint="eastAsia" w:ascii="仿宋_GB2312" w:hAnsi="仿宋_GB2312" w:eastAsia="仿宋_GB2312" w:cs="仿宋_GB2312"/>
          <w:sz w:val="32"/>
          <w:szCs w:val="32"/>
          <w:highlight w:val="none"/>
        </w:rPr>
        <w:t>申请金额≤当前</w:t>
      </w:r>
      <w:r>
        <w:rPr>
          <w:rFonts w:hint="eastAsia" w:ascii="仿宋_GB2312" w:hAnsi="仿宋_GB2312" w:eastAsia="仿宋_GB2312" w:cs="仿宋_GB2312"/>
          <w:sz w:val="32"/>
          <w:szCs w:val="32"/>
          <w:highlight w:val="none"/>
          <w:lang w:val="en-US" w:eastAsia="zh-CN"/>
        </w:rPr>
        <w:t>商业贷款</w:t>
      </w:r>
      <w:r>
        <w:rPr>
          <w:rFonts w:hint="eastAsia" w:ascii="仿宋_GB2312" w:hAnsi="仿宋_GB2312" w:eastAsia="仿宋_GB2312" w:cs="仿宋_GB2312"/>
          <w:sz w:val="32"/>
          <w:szCs w:val="32"/>
          <w:highlight w:val="none"/>
        </w:rPr>
        <w:t>余额-</w:t>
      </w:r>
      <w:r>
        <w:rPr>
          <w:rFonts w:hint="eastAsia" w:ascii="仿宋_GB2312" w:hAnsi="仿宋_GB2312" w:eastAsia="仿宋_GB2312" w:cs="仿宋_GB2312"/>
          <w:sz w:val="32"/>
          <w:szCs w:val="32"/>
          <w:highlight w:val="none"/>
          <w:lang w:val="en-US" w:eastAsia="zh-CN"/>
        </w:rPr>
        <w:t>以本套房产首付款提取公积金的金额</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期</w:t>
      </w:r>
      <w:r>
        <w:rPr>
          <w:rFonts w:hint="eastAsia" w:ascii="仿宋_GB2312" w:hAnsi="仿宋_GB2312" w:eastAsia="仿宋_GB2312" w:cs="仿宋_GB2312"/>
          <w:sz w:val="32"/>
          <w:szCs w:val="32"/>
          <w:highlight w:val="none"/>
          <w:lang w:val="en-US" w:eastAsia="zh-CN"/>
        </w:rPr>
        <w:t>商业贷款</w:t>
      </w:r>
      <w:r>
        <w:rPr>
          <w:rFonts w:hint="eastAsia" w:ascii="仿宋_GB2312" w:hAnsi="仿宋_GB2312" w:eastAsia="仿宋_GB2312" w:cs="仿宋_GB2312"/>
          <w:sz w:val="32"/>
          <w:szCs w:val="32"/>
          <w:highlight w:val="none"/>
        </w:rPr>
        <w:t>月还款本息金额</w:t>
      </w:r>
      <w:r>
        <w:rPr>
          <w:rFonts w:hint="eastAsia" w:ascii="仿宋_GB2312" w:hAnsi="仿宋_GB2312" w:eastAsia="仿宋_GB2312" w:cs="仿宋_GB2312"/>
          <w:sz w:val="32"/>
          <w:szCs w:val="32"/>
          <w:highlight w:val="none"/>
          <w:lang w:eastAsia="zh-CN"/>
        </w:rPr>
        <w:t>）；</w:t>
      </w:r>
    </w:p>
    <w:p>
      <w:pPr>
        <w:widowControl w:val="0"/>
        <w:numPr>
          <w:ilvl w:val="0"/>
          <w:numId w:val="3"/>
        </w:numPr>
        <w:wordWrap/>
        <w:adjustRightInd/>
        <w:snapToGrid w:val="0"/>
        <w:spacing w:line="360" w:lineRule="auto"/>
        <w:ind w:left="0" w:leftChars="0" w:right="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不超过该房产评估价值。</w:t>
      </w:r>
    </w:p>
    <w:p>
      <w:pPr>
        <w:widowControl w:val="0"/>
        <w:numPr>
          <w:numId w:val="0"/>
        </w:numPr>
        <w:wordWrap/>
        <w:adjustRightInd/>
        <w:snapToGrid w:val="0"/>
        <w:spacing w:line="360" w:lineRule="auto"/>
        <w:ind w:right="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w:t>
      </w:r>
      <w:r>
        <w:rPr>
          <w:rFonts w:hint="eastAsia" w:ascii="黑体" w:hAnsi="黑体" w:eastAsia="黑体" w:cs="黑体"/>
          <w:color w:val="auto"/>
          <w:sz w:val="32"/>
          <w:szCs w:val="32"/>
          <w:highlight w:val="none"/>
          <w:lang w:val="en-US" w:eastAsia="zh-CN"/>
        </w:rPr>
        <w:t>五、商转公期限和利率</w:t>
      </w:r>
    </w:p>
    <w:p>
      <w:pPr>
        <w:widowControl w:val="0"/>
        <w:wordWrap/>
        <w:adjustRightInd/>
        <w:snapToGrid w:val="0"/>
        <w:spacing w:line="360" w:lineRule="auto"/>
        <w:ind w:left="0" w:leftChars="0" w:right="0" w:firstLine="0" w:firstLineChars="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商转公期限不超过原</w:t>
      </w:r>
      <w:r>
        <w:rPr>
          <w:rFonts w:hint="eastAsia" w:ascii="仿宋_GB2312" w:hAnsi="仿宋_GB2312" w:eastAsia="仿宋_GB2312" w:cs="仿宋_GB2312"/>
          <w:sz w:val="32"/>
          <w:szCs w:val="32"/>
          <w:highlight w:val="none"/>
          <w:lang w:val="en-US" w:eastAsia="zh-CN"/>
        </w:rPr>
        <w:t>商业贷款</w:t>
      </w:r>
      <w:r>
        <w:rPr>
          <w:rFonts w:hint="eastAsia" w:ascii="仿宋_GB2312" w:hAnsi="仿宋_GB2312" w:eastAsia="仿宋_GB2312" w:cs="仿宋_GB2312"/>
          <w:color w:val="auto"/>
          <w:sz w:val="32"/>
          <w:szCs w:val="32"/>
          <w:highlight w:val="none"/>
          <w:lang w:val="en-US" w:eastAsia="zh-CN"/>
        </w:rPr>
        <w:t>剩余年限，且不超过公积金贷款最高可贷年限，</w:t>
      </w:r>
      <w:r>
        <w:rPr>
          <w:rFonts w:hint="eastAsia" w:ascii="仿宋_GB2312" w:hAnsi="仿宋_GB2312" w:eastAsia="仿宋_GB2312" w:cs="仿宋_GB2312"/>
          <w:b w:val="0"/>
          <w:bCs/>
          <w:color w:val="auto"/>
          <w:sz w:val="32"/>
          <w:szCs w:val="32"/>
          <w:highlight w:val="none"/>
          <w:lang w:eastAsia="zh-CN"/>
        </w:rPr>
        <w:t>并</w:t>
      </w:r>
      <w:r>
        <w:rPr>
          <w:rFonts w:hint="eastAsia" w:ascii="仿宋_GB2312" w:hAnsi="仿宋_GB2312" w:eastAsia="仿宋_GB2312" w:cs="仿宋_GB2312"/>
          <w:color w:val="auto"/>
          <w:sz w:val="32"/>
          <w:szCs w:val="32"/>
          <w:highlight w:val="none"/>
        </w:rPr>
        <w:t>遵循现行公积金贷款二手房的贷款年限</w:t>
      </w:r>
      <w:r>
        <w:rPr>
          <w:rFonts w:hint="eastAsia" w:ascii="仿宋_GB2312" w:hAnsi="仿宋_GB2312" w:eastAsia="仿宋_GB2312" w:cs="仿宋_GB2312"/>
          <w:color w:val="auto"/>
          <w:sz w:val="32"/>
          <w:szCs w:val="32"/>
          <w:highlight w:val="none"/>
          <w:lang w:eastAsia="zh-CN"/>
        </w:rPr>
        <w:t>及贷款比例</w:t>
      </w:r>
      <w:r>
        <w:rPr>
          <w:rFonts w:hint="eastAsia" w:ascii="仿宋_GB2312" w:hAnsi="仿宋_GB2312" w:eastAsia="仿宋_GB2312" w:cs="仿宋_GB2312"/>
          <w:color w:val="auto"/>
          <w:sz w:val="32"/>
          <w:szCs w:val="32"/>
          <w:highlight w:val="none"/>
        </w:rPr>
        <w:t>规则。</w:t>
      </w:r>
    </w:p>
    <w:p>
      <w:pPr>
        <w:widowControl w:val="0"/>
        <w:numPr>
          <w:numId w:val="0"/>
        </w:numPr>
        <w:wordWrap/>
        <w:adjustRightInd/>
        <w:snapToGrid w:val="0"/>
        <w:spacing w:line="360" w:lineRule="auto"/>
        <w:ind w:left="0" w:leftChars="0" w:right="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商转公贷款中公积金贷款部分的利率执行中国人民银行规定的贷款利率和住建部有关要求，并随国家政策调整而调整。商业贷款利率按各银行政策执行。</w:t>
      </w:r>
    </w:p>
    <w:p>
      <w:pPr>
        <w:widowControl w:val="0"/>
        <w:numPr>
          <w:numId w:val="0"/>
        </w:numPr>
        <w:wordWrap/>
        <w:adjustRightInd/>
        <w:snapToGrid w:val="0"/>
        <w:spacing w:line="360" w:lineRule="auto"/>
        <w:ind w:right="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w:t>
      </w:r>
      <w:r>
        <w:rPr>
          <w:rFonts w:hint="eastAsia" w:ascii="黑体" w:hAnsi="黑体" w:eastAsia="黑体" w:cs="黑体"/>
          <w:sz w:val="32"/>
          <w:szCs w:val="32"/>
          <w:highlight w:val="none"/>
          <w:lang w:val="en-US" w:eastAsia="zh-CN"/>
        </w:rPr>
        <w:t xml:space="preserve"> 六、商转公申请材料</w:t>
      </w:r>
    </w:p>
    <w:p>
      <w:pPr>
        <w:widowControl w:val="0"/>
        <w:numPr>
          <w:ilvl w:val="0"/>
          <w:numId w:val="4"/>
        </w:numPr>
        <w:wordWrap/>
        <w:adjustRightInd/>
        <w:snapToGrid w:val="0"/>
        <w:spacing w:line="360" w:lineRule="auto"/>
        <w:ind w:left="0" w:leftChars="0" w:right="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身份证明、居民户口簿</w:t>
      </w:r>
      <w:bookmarkStart w:id="0" w:name="_GoBack"/>
      <w:bookmarkEnd w:id="0"/>
      <w:r>
        <w:rPr>
          <w:rFonts w:hint="eastAsia" w:ascii="仿宋_GB2312" w:hAnsi="仿宋_GB2312" w:eastAsia="仿宋_GB2312" w:cs="仿宋_GB2312"/>
          <w:sz w:val="32"/>
          <w:szCs w:val="32"/>
          <w:highlight w:val="none"/>
          <w:lang w:val="en-US" w:eastAsia="zh-CN"/>
        </w:rPr>
        <w:t>、婚姻状况材料（结婚证、婚姻状况声明保证书、离婚证、财产分割协议等）；</w:t>
      </w:r>
    </w:p>
    <w:p>
      <w:pPr>
        <w:widowControl w:val="0"/>
        <w:numPr>
          <w:ilvl w:val="0"/>
          <w:numId w:val="4"/>
        </w:numPr>
        <w:wordWrap/>
        <w:adjustRightInd/>
        <w:snapToGrid w:val="0"/>
        <w:spacing w:line="360" w:lineRule="auto"/>
        <w:ind w:left="0" w:leftChars="0" w:right="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个人征信报告（有效期两个月）；</w:t>
      </w:r>
    </w:p>
    <w:p>
      <w:pPr>
        <w:widowControl w:val="0"/>
        <w:numPr>
          <w:ilvl w:val="0"/>
          <w:numId w:val="4"/>
        </w:numPr>
        <w:wordWrap/>
        <w:adjustRightInd/>
        <w:snapToGrid w:val="0"/>
        <w:spacing w:line="360" w:lineRule="auto"/>
        <w:ind w:left="0" w:leftChars="0" w:right="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不动产权证书（或房产证及土地证）；</w:t>
      </w:r>
    </w:p>
    <w:p>
      <w:pPr>
        <w:widowControl w:val="0"/>
        <w:numPr>
          <w:ilvl w:val="0"/>
          <w:numId w:val="4"/>
        </w:numPr>
        <w:wordWrap/>
        <w:adjustRightInd/>
        <w:snapToGrid w:val="0"/>
        <w:spacing w:line="360" w:lineRule="auto"/>
        <w:ind w:left="0" w:leftChars="0" w:right="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原商业贷款借款合同、借款凭证；</w:t>
      </w:r>
    </w:p>
    <w:p>
      <w:pPr>
        <w:widowControl w:val="0"/>
        <w:numPr>
          <w:ilvl w:val="0"/>
          <w:numId w:val="4"/>
        </w:numPr>
        <w:wordWrap/>
        <w:adjustRightInd/>
        <w:snapToGrid w:val="0"/>
        <w:spacing w:line="360" w:lineRule="auto"/>
        <w:ind w:left="0" w:leftChars="0" w:right="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原商业贷款还款记录、还款计划；</w:t>
      </w:r>
    </w:p>
    <w:p>
      <w:pPr>
        <w:widowControl w:val="0"/>
        <w:numPr>
          <w:ilvl w:val="0"/>
          <w:numId w:val="4"/>
        </w:numPr>
        <w:wordWrap/>
        <w:adjustRightInd/>
        <w:snapToGrid w:val="0"/>
        <w:spacing w:line="360" w:lineRule="auto"/>
        <w:ind w:left="0" w:leftChars="0" w:right="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评估报告（重新评估房地产价值的报告）；</w:t>
      </w:r>
    </w:p>
    <w:p>
      <w:pPr>
        <w:widowControl w:val="0"/>
        <w:numPr>
          <w:ilvl w:val="0"/>
          <w:numId w:val="4"/>
        </w:numPr>
        <w:wordWrap/>
        <w:adjustRightInd/>
        <w:snapToGrid w:val="0"/>
        <w:spacing w:line="360" w:lineRule="auto"/>
        <w:ind w:left="0" w:leftChars="0" w:right="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原商业贷款银行出具的《商业性贷款转公积金住房贷款同意书》；</w:t>
      </w:r>
    </w:p>
    <w:p>
      <w:pPr>
        <w:widowControl w:val="0"/>
        <w:numPr>
          <w:ilvl w:val="0"/>
          <w:numId w:val="4"/>
        </w:numPr>
        <w:wordWrap/>
        <w:adjustRightInd/>
        <w:snapToGrid w:val="0"/>
        <w:spacing w:line="360" w:lineRule="auto"/>
        <w:ind w:left="0" w:leftChars="0" w:right="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用于还款的银行卡（存折）；</w:t>
      </w:r>
    </w:p>
    <w:p>
      <w:pPr>
        <w:widowControl w:val="0"/>
        <w:numPr>
          <w:ilvl w:val="0"/>
          <w:numId w:val="4"/>
        </w:numPr>
        <w:wordWrap/>
        <w:adjustRightInd/>
        <w:snapToGrid w:val="0"/>
        <w:spacing w:line="360" w:lineRule="auto"/>
        <w:ind w:left="0" w:leftChars="0" w:right="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近一年的纳税明细原件（有其他债务时可提供，纳税明细需含薪金收入）；</w:t>
      </w:r>
    </w:p>
    <w:p>
      <w:pPr>
        <w:widowControl w:val="0"/>
        <w:numPr>
          <w:ilvl w:val="0"/>
          <w:numId w:val="4"/>
        </w:numPr>
        <w:wordWrap/>
        <w:adjustRightInd/>
        <w:snapToGrid w:val="0"/>
        <w:spacing w:line="360" w:lineRule="auto"/>
        <w:ind w:left="0" w:leftChars="0" w:right="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其他须提供的贷款材料。</w:t>
      </w:r>
    </w:p>
    <w:p>
      <w:pPr>
        <w:widowControl w:val="0"/>
        <w:numPr>
          <w:numId w:val="0"/>
        </w:numPr>
        <w:wordWrap/>
        <w:adjustRightInd/>
        <w:snapToGrid w:val="0"/>
        <w:spacing w:line="360" w:lineRule="auto"/>
        <w:ind w:right="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w:t>
      </w:r>
      <w:r>
        <w:rPr>
          <w:rFonts w:hint="eastAsia" w:ascii="黑体" w:hAnsi="黑体" w:eastAsia="黑体" w:cs="黑体"/>
          <w:sz w:val="32"/>
          <w:szCs w:val="32"/>
          <w:highlight w:val="none"/>
          <w:lang w:val="en-US" w:eastAsia="zh-CN"/>
        </w:rPr>
        <w:t>七、商转公抵押模式</w:t>
      </w:r>
    </w:p>
    <w:p>
      <w:pPr>
        <w:widowControl w:val="0"/>
        <w:numPr>
          <w:numId w:val="0"/>
        </w:numPr>
        <w:wordWrap/>
        <w:adjustRightInd/>
        <w:snapToGrid w:val="0"/>
        <w:spacing w:line="360" w:lineRule="auto"/>
        <w:ind w:leftChars="0" w:right="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商转公贷款采用抵押担保方式。贷款申请人与原商业贷款银行协商一致后，可选择以下任意一种方式办理商转公贷款：</w:t>
      </w:r>
    </w:p>
    <w:p>
      <w:pPr>
        <w:widowControl w:val="0"/>
        <w:numPr>
          <w:ilvl w:val="0"/>
          <w:numId w:val="5"/>
        </w:numPr>
        <w:wordWrap/>
        <w:adjustRightInd/>
        <w:snapToGrid w:val="0"/>
        <w:spacing w:line="360" w:lineRule="auto"/>
        <w:ind w:left="-10" w:leftChars="0" w:right="0" w:firstLine="640" w:firstLineChars="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顺位抵押模式</w:t>
      </w:r>
    </w:p>
    <w:p>
      <w:pPr>
        <w:widowControl w:val="0"/>
        <w:numPr>
          <w:numId w:val="0"/>
        </w:numPr>
        <w:wordWrap/>
        <w:adjustRightInd/>
        <w:snapToGrid w:val="0"/>
        <w:spacing w:line="360" w:lineRule="auto"/>
        <w:ind w:leftChars="0" w:right="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Style w:val="6"/>
          <w:rFonts w:hint="eastAsia" w:ascii="仿宋_GB2312" w:hAnsi="仿宋_GB2312" w:eastAsia="仿宋_GB2312" w:cs="仿宋_GB2312"/>
          <w:b w:val="0"/>
          <w:bCs w:val="0"/>
          <w:sz w:val="32"/>
          <w:szCs w:val="32"/>
          <w:highlight w:val="none"/>
        </w:rPr>
        <w:t>在原所购住房抵押登记不注销的基础上，办理顺位抵押，</w:t>
      </w:r>
      <w:r>
        <w:rPr>
          <w:rStyle w:val="6"/>
          <w:rFonts w:hint="eastAsia" w:ascii="仿宋" w:hAnsi="仿宋" w:eastAsia="仿宋" w:cs="仿宋"/>
          <w:b w:val="0"/>
          <w:bCs w:val="0"/>
          <w:sz w:val="32"/>
          <w:szCs w:val="32"/>
          <w:highlight w:val="none"/>
        </w:rPr>
        <w:t>顺位抵押</w:t>
      </w:r>
      <w:r>
        <w:rPr>
          <w:rStyle w:val="6"/>
          <w:rFonts w:hint="eastAsia" w:ascii="仿宋" w:hAnsi="仿宋" w:eastAsia="仿宋" w:cs="仿宋"/>
          <w:b w:val="0"/>
          <w:bCs w:val="0"/>
          <w:sz w:val="32"/>
          <w:szCs w:val="32"/>
          <w:highlight w:val="none"/>
          <w:lang w:eastAsia="zh-CN"/>
        </w:rPr>
        <w:t>金额不得低于公积金贷款金额</w:t>
      </w:r>
      <w:r>
        <w:rPr>
          <w:rStyle w:val="6"/>
          <w:rFonts w:hint="eastAsia" w:ascii="仿宋_GB2312" w:hAnsi="仿宋_GB2312" w:eastAsia="仿宋_GB2312" w:cs="仿宋_GB2312"/>
          <w:b w:val="0"/>
          <w:bCs w:val="0"/>
          <w:sz w:val="32"/>
          <w:szCs w:val="32"/>
          <w:highlight w:val="none"/>
          <w:lang w:eastAsia="zh-CN"/>
        </w:rPr>
        <w:t>。市公积金中心审批后</w:t>
      </w:r>
      <w:r>
        <w:rPr>
          <w:rStyle w:val="6"/>
          <w:rFonts w:hint="eastAsia" w:ascii="仿宋_GB2312" w:hAnsi="仿宋_GB2312" w:eastAsia="仿宋_GB2312" w:cs="仿宋_GB2312"/>
          <w:b w:val="0"/>
          <w:bCs w:val="0"/>
          <w:sz w:val="32"/>
          <w:szCs w:val="32"/>
          <w:highlight w:val="none"/>
        </w:rPr>
        <w:t>发放商转公贷款</w:t>
      </w:r>
      <w:r>
        <w:rPr>
          <w:rStyle w:val="6"/>
          <w:rFonts w:hint="eastAsia" w:ascii="仿宋_GB2312" w:hAnsi="仿宋_GB2312" w:eastAsia="仿宋_GB2312" w:cs="仿宋_GB2312"/>
          <w:b w:val="0"/>
          <w:bCs w:val="0"/>
          <w:sz w:val="32"/>
          <w:szCs w:val="32"/>
          <w:highlight w:val="none"/>
          <w:lang w:eastAsia="zh-CN"/>
        </w:rPr>
        <w:t>，银行办理原</w:t>
      </w:r>
      <w:r>
        <w:rPr>
          <w:rFonts w:hint="eastAsia" w:ascii="仿宋_GB2312" w:hAnsi="仿宋_GB2312" w:eastAsia="仿宋_GB2312" w:cs="仿宋_GB2312"/>
          <w:sz w:val="32"/>
          <w:szCs w:val="32"/>
          <w:highlight w:val="none"/>
          <w:lang w:val="en-US" w:eastAsia="zh-CN"/>
        </w:rPr>
        <w:t>商业贷款</w:t>
      </w:r>
      <w:r>
        <w:rPr>
          <w:rStyle w:val="6"/>
          <w:rFonts w:hint="eastAsia" w:ascii="仿宋_GB2312" w:hAnsi="仿宋_GB2312" w:eastAsia="仿宋_GB2312" w:cs="仿宋_GB2312"/>
          <w:b w:val="0"/>
          <w:bCs w:val="0"/>
          <w:sz w:val="32"/>
          <w:szCs w:val="32"/>
          <w:highlight w:val="none"/>
          <w:lang w:eastAsia="zh-CN"/>
        </w:rPr>
        <w:t>注销抵押</w:t>
      </w:r>
      <w:r>
        <w:rPr>
          <w:rStyle w:val="6"/>
          <w:rFonts w:hint="eastAsia" w:ascii="仿宋_GB2312" w:hAnsi="仿宋_GB2312" w:eastAsia="仿宋_GB2312" w:cs="仿宋_GB2312"/>
          <w:b w:val="0"/>
          <w:bCs w:val="0"/>
          <w:sz w:val="32"/>
          <w:szCs w:val="32"/>
          <w:highlight w:val="none"/>
          <w:lang w:val="en-US" w:eastAsia="zh-CN"/>
        </w:rPr>
        <w:t>。</w:t>
      </w:r>
    </w:p>
    <w:p>
      <w:pPr>
        <w:widowControl w:val="0"/>
        <w:numPr>
          <w:ilvl w:val="0"/>
          <w:numId w:val="5"/>
        </w:numPr>
        <w:wordWrap/>
        <w:adjustRightInd/>
        <w:snapToGrid w:val="0"/>
        <w:spacing w:line="360" w:lineRule="auto"/>
        <w:ind w:left="-10" w:leftChars="0" w:right="0" w:firstLine="640" w:firstLineChars="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自筹资金质押模式</w:t>
      </w:r>
    </w:p>
    <w:p>
      <w:pPr>
        <w:widowControl w:val="0"/>
        <w:numPr>
          <w:numId w:val="0"/>
        </w:numPr>
        <w:wordWrap/>
        <w:adjustRightInd/>
        <w:snapToGrid w:val="0"/>
        <w:spacing w:line="360" w:lineRule="auto"/>
        <w:ind w:leftChars="0" w:right="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申请人以不低于原商业贷款余额的资金作为质押，银行注销原商业贷款抵押后办理商转公贷款抵押登记，市</w:t>
      </w:r>
      <w:r>
        <w:rPr>
          <w:rStyle w:val="6"/>
          <w:rFonts w:hint="eastAsia" w:ascii="仿宋_GB2312" w:hAnsi="仿宋_GB2312" w:eastAsia="仿宋_GB2312" w:cs="仿宋_GB2312"/>
          <w:b w:val="0"/>
          <w:bCs w:val="0"/>
          <w:sz w:val="32"/>
          <w:szCs w:val="32"/>
          <w:highlight w:val="none"/>
          <w:lang w:eastAsia="zh-CN"/>
        </w:rPr>
        <w:t>公积金中心审批后发放商转公贷款。</w:t>
      </w:r>
    </w:p>
    <w:p>
      <w:pPr>
        <w:widowControl w:val="0"/>
        <w:numPr>
          <w:numId w:val="0"/>
        </w:numPr>
        <w:wordWrap/>
        <w:adjustRightInd/>
        <w:snapToGrid w:val="0"/>
        <w:spacing w:line="360" w:lineRule="auto"/>
        <w:ind w:right="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w:t>
      </w:r>
      <w:r>
        <w:rPr>
          <w:rFonts w:hint="eastAsia" w:ascii="黑体" w:hAnsi="黑体" w:eastAsia="黑体" w:cs="黑体"/>
          <w:sz w:val="32"/>
          <w:szCs w:val="32"/>
          <w:highlight w:val="none"/>
          <w:lang w:val="en-US" w:eastAsia="zh-CN"/>
        </w:rPr>
        <w:t>八、商转公办理程序</w:t>
      </w:r>
    </w:p>
    <w:p>
      <w:pPr>
        <w:widowControl w:val="0"/>
        <w:numPr>
          <w:numId w:val="0"/>
        </w:numPr>
        <w:wordWrap/>
        <w:adjustRightInd/>
        <w:snapToGrid w:val="0"/>
        <w:spacing w:line="360" w:lineRule="auto"/>
        <w:ind w:right="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kern w:val="0"/>
          <w:sz w:val="32"/>
          <w:szCs w:val="32"/>
          <w:highlight w:val="none"/>
          <w:lang w:eastAsia="zh-CN"/>
        </w:rPr>
        <w:t>职工取得原商业贷款银行同意</w:t>
      </w:r>
      <w:r>
        <w:rPr>
          <w:rFonts w:hint="eastAsia" w:ascii="仿宋_GB2312" w:hAnsi="仿宋_GB2312" w:eastAsia="仿宋_GB2312" w:cs="仿宋_GB2312"/>
          <w:kern w:val="0"/>
          <w:sz w:val="32"/>
          <w:szCs w:val="32"/>
          <w:highlight w:val="none"/>
        </w:rPr>
        <w:t>—职工办理资格认证—职工提供贷款申请资料—贷款额度审核—办理贷款抵押担保—贷款签收及贷款发放审核—发放贷款。</w:t>
      </w:r>
    </w:p>
    <w:p>
      <w:pPr>
        <w:widowControl w:val="0"/>
        <w:numPr>
          <w:numId w:val="0"/>
        </w:numPr>
        <w:wordWrap/>
        <w:adjustRightInd/>
        <w:snapToGrid w:val="0"/>
        <w:spacing w:line="360" w:lineRule="auto"/>
        <w:ind w:right="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w:t>
      </w:r>
      <w:r>
        <w:rPr>
          <w:rFonts w:hint="eastAsia" w:ascii="黑体" w:hAnsi="黑体" w:eastAsia="黑体" w:cs="黑体"/>
          <w:sz w:val="32"/>
          <w:szCs w:val="32"/>
          <w:highlight w:val="none"/>
          <w:lang w:val="en-US" w:eastAsia="zh-CN"/>
        </w:rPr>
        <w:t>九、商转公资金划拨</w:t>
      </w:r>
    </w:p>
    <w:p>
      <w:pPr>
        <w:widowControl w:val="0"/>
        <w:numPr>
          <w:numId w:val="0"/>
        </w:numPr>
        <w:wordWrap/>
        <w:adjustRightInd/>
        <w:snapToGrid w:val="0"/>
        <w:spacing w:line="360" w:lineRule="auto"/>
        <w:ind w:right="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商转公贷款款项划入原商业贷款银行指定账户。</w:t>
      </w:r>
    </w:p>
    <w:p>
      <w:pPr>
        <w:widowControl w:val="0"/>
        <w:numPr>
          <w:numId w:val="0"/>
        </w:numPr>
        <w:wordWrap/>
        <w:adjustRightInd/>
        <w:snapToGrid w:val="0"/>
        <w:spacing w:line="360" w:lineRule="auto"/>
        <w:ind w:right="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十、如月末个人住房贷款率（个人住房贷款率=住房公积金个人贷款余额/住房公积金缴存余额*100%）连续3个月高于90%，两个月内暂停受理商转公业务,已录入系统并生成贷款业务编号的继续办理；如连续3个月低于90%，则恢复受理商转公业务。</w:t>
      </w:r>
    </w:p>
    <w:p>
      <w:pPr>
        <w:widowControl w:val="0"/>
        <w:numPr>
          <w:numId w:val="0"/>
        </w:numPr>
        <w:wordWrap/>
        <w:adjustRightInd/>
        <w:snapToGrid w:val="0"/>
        <w:spacing w:line="360" w:lineRule="auto"/>
        <w:ind w:right="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w:t>
      </w:r>
      <w:r>
        <w:rPr>
          <w:rFonts w:hint="eastAsia" w:ascii="黑体" w:hAnsi="黑体" w:eastAsia="黑体" w:cs="黑体"/>
          <w:sz w:val="32"/>
          <w:szCs w:val="32"/>
          <w:highlight w:val="none"/>
          <w:lang w:val="en-US" w:eastAsia="zh-CN"/>
        </w:rPr>
        <w:t xml:space="preserve">  十一、商转公受委托银行</w:t>
      </w:r>
    </w:p>
    <w:p>
      <w:pPr>
        <w:widowControl w:val="0"/>
        <w:numPr>
          <w:numId w:val="0"/>
        </w:numPr>
        <w:wordWrap/>
        <w:adjustRightInd/>
        <w:snapToGrid w:val="0"/>
        <w:spacing w:line="360" w:lineRule="auto"/>
        <w:ind w:right="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承办商转公贷款业务的银行必须为原商业贷款银行，且该银行为住房公积金贷款业务受委托银行。</w:t>
      </w:r>
    </w:p>
    <w:p>
      <w:pPr>
        <w:widowControl w:val="0"/>
        <w:numPr>
          <w:numId w:val="0"/>
        </w:numPr>
        <w:wordWrap/>
        <w:adjustRightInd/>
        <w:snapToGrid w:val="0"/>
        <w:spacing w:line="360" w:lineRule="auto"/>
        <w:ind w:right="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w:t>
      </w:r>
      <w:r>
        <w:rPr>
          <w:rFonts w:hint="eastAsia" w:ascii="黑体" w:hAnsi="黑体" w:eastAsia="黑体" w:cs="黑体"/>
          <w:sz w:val="32"/>
          <w:szCs w:val="32"/>
          <w:highlight w:val="none"/>
          <w:lang w:val="en-US" w:eastAsia="zh-CN"/>
        </w:rPr>
        <w:t xml:space="preserve">   十二、商转公贷后管理</w:t>
      </w:r>
    </w:p>
    <w:p>
      <w:pPr>
        <w:widowControl w:val="0"/>
        <w:numPr>
          <w:numId w:val="0"/>
        </w:numPr>
        <w:wordWrap/>
        <w:adjustRightInd/>
        <w:snapToGrid w:val="0"/>
        <w:spacing w:line="360" w:lineRule="auto"/>
        <w:ind w:right="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在商转公贷款发放后，按照我市住房公积金贷款管理相关规定进行贷后管理。</w:t>
      </w:r>
    </w:p>
    <w:p>
      <w:pPr>
        <w:widowControl w:val="0"/>
        <w:numPr>
          <w:numId w:val="0"/>
        </w:numPr>
        <w:wordWrap/>
        <w:adjustRightInd/>
        <w:snapToGrid w:val="0"/>
        <w:spacing w:line="360" w:lineRule="auto"/>
        <w:ind w:right="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十三、自商转公贷款业务生成之日起180天内未放款的（以贷款业务编号为准），作注销处理。</w:t>
      </w:r>
    </w:p>
    <w:p>
      <w:pPr>
        <w:widowControl w:val="0"/>
        <w:numPr>
          <w:numId w:val="0"/>
        </w:numPr>
        <w:wordWrap/>
        <w:adjustRightInd/>
        <w:snapToGrid w:val="0"/>
        <w:spacing w:line="360" w:lineRule="auto"/>
        <w:ind w:right="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十四、如申请对象符合中山市相关人才政策，其申请商转公住房属家庭唯一自住住房，且本次为首次申请公积金贷款的，适用本细则。</w:t>
      </w:r>
    </w:p>
    <w:p>
      <w:pPr>
        <w:widowControl w:val="0"/>
        <w:numPr>
          <w:numId w:val="0"/>
        </w:numPr>
        <w:wordWrap/>
        <w:adjustRightInd/>
        <w:snapToGrid w:val="0"/>
        <w:spacing w:line="360" w:lineRule="auto"/>
        <w:ind w:right="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十五、本细则未尽事宜，按我市现行住房公积金贷款管理相关政策规定执行。</w:t>
      </w:r>
    </w:p>
    <w:p>
      <w:pPr>
        <w:widowControl w:val="0"/>
        <w:numPr>
          <w:numId w:val="0"/>
        </w:numPr>
        <w:wordWrap/>
        <w:adjustRightInd/>
        <w:snapToGrid w:val="0"/>
        <w:spacing w:line="360" w:lineRule="auto"/>
        <w:ind w:right="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十六、本细则由中山市住房公积金管理中心负责解释。</w:t>
      </w:r>
    </w:p>
    <w:p>
      <w:pPr>
        <w:widowControl w:val="0"/>
        <w:numPr>
          <w:numId w:val="0"/>
        </w:numPr>
        <w:wordWrap/>
        <w:adjustRightInd/>
        <w:snapToGrid w:val="0"/>
        <w:spacing w:line="360" w:lineRule="auto"/>
        <w:ind w:right="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十七、本细则发布之日起实施。</w:t>
      </w:r>
    </w:p>
    <w:p>
      <w:pPr>
        <w:widowControl w:val="0"/>
        <w:numPr>
          <w:numId w:val="0"/>
        </w:numPr>
        <w:wordWrap/>
        <w:adjustRightInd/>
        <w:snapToGrid w:val="0"/>
        <w:spacing w:line="360" w:lineRule="auto"/>
        <w:ind w:right="0"/>
        <w:jc w:val="both"/>
        <w:textAlignment w:val="auto"/>
        <w:outlineLvl w:val="9"/>
        <w:rPr>
          <w:rFonts w:hint="eastAsia" w:ascii="仿宋_GB2312" w:hAnsi="仿宋_GB2312" w:eastAsia="仿宋_GB2312" w:cs="仿宋_GB2312"/>
          <w:sz w:val="32"/>
          <w:szCs w:val="32"/>
          <w:highlight w:val="none"/>
          <w:lang w:val="en-US" w:eastAsia="zh-CN"/>
        </w:rPr>
        <w:sectPr>
          <w:footerReference r:id="rId4" w:type="default"/>
          <w:pgSz w:w="11906" w:h="16838"/>
          <w:pgMar w:top="1440" w:right="1800" w:bottom="1440" w:left="1800" w:header="851" w:footer="992" w:gutter="0"/>
          <w:pgNumType w:fmt="decimal" w:start="1"/>
          <w:cols w:space="720" w:num="1"/>
          <w:docGrid w:type="lines" w:linePitch="312" w:charSpace="0"/>
        </w:sect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r>
      <w:rPr>
        <w:rFonts w:ascii="Times New Roman" w:hAnsi="Times New Roman" w:eastAsia="宋体" w:cs="Times New Roman"/>
        <w:kern w:val="2"/>
        <w:sz w:val="18"/>
        <w:szCs w:val="24"/>
        <w:lang w:val="en-US" w:eastAsia="zh-CN" w:bidi="ar-SA"/>
      </w:rPr>
      <w:pict>
        <v:rect id="文本框 2" o:spid="_x0000_s1025" style="position:absolute;left:0;margin-top:0pt;height:144pt;width:144pt;mso-position-horizontal:outside;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58214885">
    <w:nsid w:val="62D659E5"/>
    <w:multiLevelType w:val="singleLevel"/>
    <w:tmpl w:val="62D659E5"/>
    <w:lvl w:ilvl="0" w:tentative="1">
      <w:start w:val="1"/>
      <w:numFmt w:val="chineseCounting"/>
      <w:suff w:val="nothing"/>
      <w:lvlText w:val="（%1）"/>
      <w:lvlJc w:val="left"/>
    </w:lvl>
  </w:abstractNum>
  <w:abstractNum w:abstractNumId="3373873319">
    <w:nsid w:val="C91938A7"/>
    <w:multiLevelType w:val="singleLevel"/>
    <w:tmpl w:val="C91938A7"/>
    <w:lvl w:ilvl="0" w:tentative="1">
      <w:start w:val="1"/>
      <w:numFmt w:val="chineseCounting"/>
      <w:suff w:val="nothing"/>
      <w:lvlText w:val="（%1）"/>
      <w:lvlJc w:val="left"/>
      <w:rPr>
        <w:rFonts w:hint="eastAsia"/>
      </w:rPr>
    </w:lvl>
  </w:abstractNum>
  <w:abstractNum w:abstractNumId="3777896060">
    <w:nsid w:val="E12E1E7C"/>
    <w:multiLevelType w:val="singleLevel"/>
    <w:tmpl w:val="E12E1E7C"/>
    <w:lvl w:ilvl="0" w:tentative="1">
      <w:start w:val="1"/>
      <w:numFmt w:val="chineseCounting"/>
      <w:suff w:val="nothing"/>
      <w:lvlText w:val="（%1）"/>
      <w:lvlJc w:val="left"/>
      <w:rPr>
        <w:rFonts w:hint="eastAsia"/>
      </w:rPr>
    </w:lvl>
  </w:abstractNum>
  <w:abstractNum w:abstractNumId="109709552">
    <w:nsid w:val="068A08F0"/>
    <w:multiLevelType w:val="singleLevel"/>
    <w:tmpl w:val="068A08F0"/>
    <w:lvl w:ilvl="0" w:tentative="1">
      <w:start w:val="1"/>
      <w:numFmt w:val="chineseCounting"/>
      <w:suff w:val="nothing"/>
      <w:lvlText w:val="（%1）"/>
      <w:lvlJc w:val="left"/>
      <w:pPr>
        <w:ind w:left="-10"/>
      </w:pPr>
      <w:rPr>
        <w:rFonts w:hint="eastAsia"/>
      </w:rPr>
    </w:lvl>
  </w:abstractNum>
  <w:abstractNum w:abstractNumId="483078100">
    <w:nsid w:val="1CCB2FD4"/>
    <w:multiLevelType w:val="singleLevel"/>
    <w:tmpl w:val="1CCB2FD4"/>
    <w:lvl w:ilvl="0" w:tentative="1">
      <w:start w:val="1"/>
      <w:numFmt w:val="chineseCounting"/>
      <w:suff w:val="nothing"/>
      <w:lvlText w:val="（%1）"/>
      <w:lvlJc w:val="left"/>
      <w:pPr>
        <w:ind w:left="420"/>
      </w:pPr>
      <w:rPr>
        <w:rFonts w:hint="eastAsia"/>
      </w:rPr>
    </w:lvl>
  </w:abstractNum>
  <w:num w:numId="1">
    <w:abstractNumId w:val="3373873319"/>
  </w:num>
  <w:num w:numId="2">
    <w:abstractNumId w:val="1658214885"/>
  </w:num>
  <w:num w:numId="3">
    <w:abstractNumId w:val="3777896060"/>
  </w:num>
  <w:num w:numId="4">
    <w:abstractNumId w:val="483078100"/>
  </w:num>
  <w:num w:numId="5">
    <w:abstractNumId w:val="1097095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21092D70"/>
    <w:rsid w:val="21092D70"/>
    <w:rsid w:val="74794B71"/>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7">
    <w:name w:val="Normal Table"/>
    <w:semiHidden/>
    <w:qFormat/>
    <w:uiPriority w:val="0"/>
    <w:tblPr>
      <w:tblStyle w:val="7"/>
      <w:tblLayout w:type="fixed"/>
      <w:tblCellMar>
        <w:top w:w="0" w:type="dxa"/>
        <w:left w:w="108" w:type="dxa"/>
        <w:bottom w:w="0" w:type="dxa"/>
        <w:right w:w="108" w:type="dxa"/>
      </w:tblCellMar>
    </w:tblPr>
    <w:tcPr>
      <w:textDirection w:val="lrTb"/>
    </w:tcPr>
  </w:style>
  <w:style w:type="paragraph" w:styleId="2">
    <w:name w:val="Body Text"/>
    <w:basedOn w:val="1"/>
    <w:next w:val="3"/>
    <w:qFormat/>
    <w:uiPriority w:val="99"/>
    <w:pPr>
      <w:spacing w:after="120"/>
    </w:pPr>
    <w:rPr>
      <w:rFonts w:ascii="Calibri" w:hAnsi="Calibri"/>
    </w:rPr>
  </w:style>
  <w:style w:type="paragraph" w:styleId="3">
    <w:name w:val="Title"/>
    <w:basedOn w:val="1"/>
    <w:next w:val="1"/>
    <w:qFormat/>
    <w:uiPriority w:val="0"/>
    <w:pPr>
      <w:spacing w:before="240" w:after="60"/>
      <w:jc w:val="center"/>
      <w:textAlignment w:val="baseline"/>
    </w:pPr>
    <w:rPr>
      <w:rFonts w:ascii="Cambria" w:hAnsi="Cambria"/>
      <w:b/>
      <w:bCs/>
      <w:sz w:val="32"/>
      <w:szCs w:val="32"/>
    </w:rPr>
  </w:style>
  <w:style w:type="paragraph" w:styleId="4">
    <w:name w:val="footer"/>
    <w:basedOn w:val="1"/>
    <w:qFormat/>
    <w:uiPriority w:val="0"/>
    <w:pPr>
      <w:tabs>
        <w:tab w:val="center" w:pos="4153"/>
        <w:tab w:val="right" w:pos="8306"/>
      </w:tabs>
      <w:snapToGrid w:val="0"/>
      <w:jc w:val="left"/>
    </w:pPr>
    <w:rPr>
      <w:sz w:val="18"/>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中山市住房公积金管理中心</Company>
  <Pages>1</Pages>
  <Words>0</Words>
  <Characters>0</Characters>
  <Lines>0</Lines>
  <Paragraphs>0</Paragraphs>
  <ScaleCrop>false</ScaleCrop>
  <LinksUpToDate>false</LinksUpToDate>
  <CharactersWithSpaces>0</CharactersWithSpaces>
  <Application>WPS Office 专业版_9.1.0.5026_F1E327BC-269C-435d-A152-05C5408002CA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2023-03-17T08:05:00Z</dcterms:created>
  <dc:creator>卢欣妍</dc:creator>
  <cp:lastModifiedBy>卢欣妍</cp:lastModifiedBy>
  <dcterms:modified xsi:type="dcterms:W3CDTF">2023-04-12T02:09:00Z</dcterms:modified>
  <dc:title>中山市住房公积金商转公贷款操作细则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2052-9.1.0.5026</vt:lpwstr>
  </property>
</Properties>
</file>