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  <w:t>附件：</w:t>
      </w:r>
    </w:p>
    <w:p>
      <w:pPr>
        <w:pStyle w:val="4"/>
        <w:keepNext/>
        <w:keepLines/>
        <w:jc w:val="center"/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  <w:t>定期存款利率报价表</w:t>
      </w: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中山市住房公积金管理中心：</w:t>
      </w:r>
      <w:bookmarkStart w:id="0" w:name="_GoBack"/>
      <w:bookmarkEnd w:id="0"/>
    </w:p>
    <w:p>
      <w:pPr>
        <w:pStyle w:val="5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根据贵中心报价指令要求，现我行对存款种类利率上浮率报价如下：</w:t>
      </w:r>
    </w:p>
    <w:tbl>
      <w:tblPr>
        <w:tblStyle w:val="7"/>
        <w:tblW w:w="12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2335"/>
        <w:gridCol w:w="1589"/>
        <w:gridCol w:w="195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（价格评分分值20分）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基准利率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加点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承诺的利率水平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起存金额</w:t>
            </w:r>
          </w:p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年期存款利率水平报价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（10分）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三年期存款利率水平报价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（10分）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1000</w:t>
            </w:r>
          </w:p>
        </w:tc>
      </w:tr>
    </w:tbl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备注：一、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三年期存款利率水平报价不限于单位整存整取定期存款或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单位大额定期存单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，并须按规定的起存金额可实施的利率水平报价。在服务期间，遇金融政策调整导致中标利率无法履行的，经双方协商同意后作相应调整并按最新规定执行。</w:t>
      </w:r>
    </w:p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spacing w:line="300" w:lineRule="auto"/>
        <w:ind w:firstLine="8400" w:firstLineChars="30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名称（盖章）：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 xml:space="preserve">                   </w:t>
      </w:r>
    </w:p>
    <w:p>
      <w:pPr>
        <w:adjustRightInd w:val="0"/>
        <w:snapToGrid w:val="0"/>
        <w:spacing w:line="300" w:lineRule="auto"/>
        <w:ind w:firstLine="10080" w:firstLineChars="36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日期：   年   月   日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61F7"/>
    <w:rsid w:val="0A8D430F"/>
    <w:rsid w:val="11290B59"/>
    <w:rsid w:val="12D21F90"/>
    <w:rsid w:val="14C838BB"/>
    <w:rsid w:val="17BC35F7"/>
    <w:rsid w:val="1A9A583A"/>
    <w:rsid w:val="2A2561F7"/>
    <w:rsid w:val="2AEB0148"/>
    <w:rsid w:val="3F1076A7"/>
    <w:rsid w:val="537A014F"/>
    <w:rsid w:val="563B4633"/>
    <w:rsid w:val="573B2F9D"/>
    <w:rsid w:val="5B9F3B64"/>
    <w:rsid w:val="62336B27"/>
    <w:rsid w:val="75AD5014"/>
    <w:rsid w:val="7B535239"/>
    <w:rsid w:val="7E5609C1"/>
    <w:rsid w:val="7E6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basedOn w:val="1"/>
    <w:next w:val="5"/>
    <w:qFormat/>
    <w:uiPriority w:val="99"/>
    <w:pPr>
      <w:widowControl w:val="0"/>
      <w:spacing w:line="360" w:lineRule="auto"/>
      <w:jc w:val="both"/>
      <w:outlineLvl w:val="2"/>
    </w:pPr>
    <w:rPr>
      <w:rFonts w:ascii="宋体" w:cs="宋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 w:cs="Calibri"/>
      <w:sz w:val="20"/>
      <w:szCs w:val="20"/>
    </w:rPr>
  </w:style>
  <w:style w:type="paragraph" w:styleId="3">
    <w:name w:val="toc 5"/>
    <w:basedOn w:val="1"/>
    <w:next w:val="1"/>
    <w:semiHidden/>
    <w:qFormat/>
    <w:uiPriority w:val="99"/>
    <w:pPr>
      <w:widowControl w:val="0"/>
      <w:ind w:left="1680" w:leftChars="800"/>
      <w:jc w:val="both"/>
    </w:pPr>
    <w:rPr>
      <w:kern w:val="2"/>
    </w:rPr>
  </w:style>
  <w:style w:type="paragraph" w:styleId="5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/>
      <w:sz w:val="24"/>
      <w:szCs w:val="24"/>
    </w:rPr>
  </w:style>
  <w:style w:type="paragraph" w:styleId="6">
    <w:name w:val="Plain Text"/>
    <w:basedOn w:val="1"/>
    <w:qFormat/>
    <w:uiPriority w:val="0"/>
    <w:pPr>
      <w:widowControl w:val="0"/>
      <w:jc w:val="both"/>
    </w:pPr>
    <w:rPr>
      <w:rFonts w:ascii="宋体" w:hAnsi="Courier New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2022-06-02T03:06:00Z</dcterms:created>
  <dc:creator>水皮Y</dc:creator>
  <cp:lastModifiedBy>孔翠羽</cp:lastModifiedBy>
  <cp:lastPrinted>2022-10-24T06:39:00Z</cp:lastPrinted>
  <dcterms:modified xsi:type="dcterms:W3CDTF">2023-04-28T01:46:22Z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E92C608038AA4597B030D57323B5F466</vt:lpwstr>
  </property>
</Properties>
</file>