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EA" w:rsidRPr="00B11C2F" w:rsidRDefault="00B526EE">
      <w:pPr>
        <w:pStyle w:val="a8"/>
        <w:shd w:val="clear" w:color="auto" w:fill="FFFFFF"/>
        <w:spacing w:before="0" w:beforeAutospacing="0" w:after="0" w:afterAutospacing="0" w:line="240" w:lineRule="atLeast"/>
        <w:ind w:firstLine="482"/>
        <w:jc w:val="center"/>
        <w:rPr>
          <w:rStyle w:val="a9"/>
          <w:sz w:val="36"/>
          <w:szCs w:val="36"/>
        </w:rPr>
      </w:pPr>
      <w:r w:rsidRPr="00B11C2F">
        <w:rPr>
          <w:rStyle w:val="a9"/>
          <w:rFonts w:hint="eastAsia"/>
          <w:sz w:val="36"/>
          <w:szCs w:val="36"/>
        </w:rPr>
        <w:t>中山市个人自愿缴存使用住房公积金办法</w:t>
      </w:r>
    </w:p>
    <w:p w:rsidR="00F10FEA" w:rsidRPr="00B11C2F" w:rsidRDefault="00B526EE">
      <w:pPr>
        <w:pStyle w:val="a8"/>
        <w:shd w:val="clear" w:color="auto" w:fill="FFFFFF"/>
        <w:spacing w:before="0" w:beforeAutospacing="0" w:after="0" w:afterAutospacing="0" w:line="240" w:lineRule="atLeast"/>
        <w:ind w:firstLine="482"/>
        <w:jc w:val="center"/>
      </w:pPr>
      <w:r w:rsidRPr="00B11C2F">
        <w:rPr>
          <w:rFonts w:hint="eastAsia"/>
        </w:rPr>
        <w:t>（征求意见稿）</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rPr>
          <w:rFonts w:hint="eastAsia"/>
        </w:rPr>
        <w:t>第一条</w:t>
      </w:r>
      <w:r w:rsidR="00D51FEB" w:rsidRPr="00B11C2F">
        <w:rPr>
          <w:rFonts w:hint="eastAsia"/>
        </w:rPr>
        <w:t xml:space="preserve">  </w:t>
      </w:r>
      <w:r w:rsidRPr="00B11C2F">
        <w:rPr>
          <w:rFonts w:hint="eastAsia"/>
        </w:rPr>
        <w:t>根据《关于住房公积金管理若干具体问题的指导意见》(建金管[2005]5号)、《推动1亿非户籍人口在城市落户方案》（国办发〔2016〕72号）、《中山市人民政府办公室关于印发中山市推动非户籍人口在城市落户实施方案的通知》（中府办〔2018〕1号）、《中山市人民政府关于印发中山市供给侧结构性改革总体方案（2016-2018年）及五个行动计划的通知》（</w:t>
      </w:r>
      <w:r w:rsidRPr="00B11C2F">
        <w:t>中府〔2016〕38号</w:t>
      </w:r>
      <w:r w:rsidRPr="00B11C2F">
        <w:rPr>
          <w:rFonts w:hint="eastAsia"/>
        </w:rPr>
        <w:t>）等相关规定，为进一步扩大住房公积金制度覆盖面，充分发挥住房公积金制度的普惠性，制定本办法。</w:t>
      </w:r>
    </w:p>
    <w:p w:rsidR="00F10FEA" w:rsidRPr="00B11C2F" w:rsidRDefault="00B526EE">
      <w:pPr>
        <w:pStyle w:val="a8"/>
        <w:shd w:val="clear" w:color="auto" w:fill="FFFFFF"/>
        <w:spacing w:before="0" w:beforeAutospacing="0" w:after="0" w:afterAutospacing="0" w:line="360" w:lineRule="auto"/>
        <w:ind w:firstLine="480"/>
        <w:jc w:val="both"/>
      </w:pPr>
      <w:r w:rsidRPr="00B11C2F">
        <w:rPr>
          <w:rFonts w:hint="eastAsia"/>
        </w:rPr>
        <w:t>第二条</w:t>
      </w:r>
      <w:r w:rsidR="00D51FEB" w:rsidRPr="00B11C2F">
        <w:rPr>
          <w:rFonts w:hint="eastAsia"/>
        </w:rPr>
        <w:t xml:space="preserve">  </w:t>
      </w:r>
      <w:r w:rsidRPr="00B11C2F">
        <w:rPr>
          <w:rFonts w:hint="eastAsia"/>
        </w:rPr>
        <w:t>本办法所称自愿缴存、使用住房公积金的对象为年满18周岁在中山居住的下列人员（简称“个人自愿缴存者”）：</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（一）自由职业者；</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（二）个体工商户雇主及其雇佣人员；</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（三）台港澳人员、外国人；</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（四）在校大学生。</w:t>
      </w:r>
    </w:p>
    <w:p w:rsidR="00F10FEA" w:rsidRPr="00B11C2F" w:rsidRDefault="00B526EE" w:rsidP="00B11C2F">
      <w:pPr>
        <w:pStyle w:val="a8"/>
        <w:shd w:val="clear" w:color="auto" w:fill="FFFFFF"/>
        <w:spacing w:beforeLines="50" w:beforeAutospacing="0" w:afterLines="50" w:afterAutospacing="0" w:line="360" w:lineRule="auto"/>
        <w:ind w:firstLineChars="200" w:firstLine="480"/>
      </w:pPr>
      <w:r w:rsidRPr="00B11C2F">
        <w:rPr>
          <w:rFonts w:hint="eastAsia"/>
        </w:rPr>
        <w:t>第三条</w:t>
      </w:r>
      <w:r w:rsidR="00D51FEB" w:rsidRPr="00B11C2F">
        <w:rPr>
          <w:rFonts w:hint="eastAsia"/>
        </w:rPr>
        <w:t xml:space="preserve">  </w:t>
      </w:r>
      <w:r w:rsidRPr="00B11C2F">
        <w:rPr>
          <w:rFonts w:hint="eastAsia"/>
        </w:rPr>
        <w:t>中山市住房公积金管理中心负责办理个人自愿缴存者的住房公积金开户、缴存和使用等业务。</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rPr>
          <w:rFonts w:hint="eastAsia"/>
        </w:rPr>
        <w:t>第四条</w:t>
      </w:r>
      <w:r w:rsidR="00D51FEB" w:rsidRPr="00B11C2F">
        <w:rPr>
          <w:rFonts w:hint="eastAsia"/>
        </w:rPr>
        <w:t xml:space="preserve">  </w:t>
      </w:r>
      <w:r w:rsidRPr="00B11C2F">
        <w:rPr>
          <w:rFonts w:hint="eastAsia"/>
        </w:rPr>
        <w:t>个人自愿缴存者应当以个人名义开户缴存住房公积金，在开户登记时与中山市住房公积金管理中心签订协议，约定缴存方式、双方的权利和义务等内容。</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rPr>
          <w:rFonts w:hint="eastAsia"/>
        </w:rPr>
        <w:t>第五条</w:t>
      </w:r>
      <w:r w:rsidR="00D51FEB" w:rsidRPr="00B11C2F">
        <w:rPr>
          <w:rFonts w:hint="eastAsia"/>
        </w:rPr>
        <w:t xml:space="preserve">  </w:t>
      </w:r>
      <w:r w:rsidRPr="00B11C2F">
        <w:rPr>
          <w:rFonts w:hint="eastAsia"/>
        </w:rPr>
        <w:t>个人自愿缴存者应当按月缴存住房公积金，个人自愿缴存者缴存的住房公积金包含个人部分和企业部分，两部分都由个人缴存。缴存基数、缴存比例、缴存调整、信息变更等业务，参照本市住房公积金缴存政策执行。</w:t>
      </w:r>
      <w:r w:rsidRPr="00B11C2F">
        <w:br/>
      </w:r>
      <w:r w:rsidRPr="00B11C2F">
        <w:rPr>
          <w:rFonts w:hint="eastAsia"/>
        </w:rPr>
        <w:t>个人自愿缴存者账户停缴半年后才可申请办理账户转移业务。</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rPr>
          <w:rFonts w:hint="eastAsia"/>
        </w:rPr>
        <w:t>第六条</w:t>
      </w:r>
      <w:r w:rsidR="00D51FEB" w:rsidRPr="00B11C2F">
        <w:rPr>
          <w:rFonts w:hint="eastAsia"/>
        </w:rPr>
        <w:t xml:space="preserve">  </w:t>
      </w:r>
      <w:r w:rsidRPr="00B11C2F">
        <w:rPr>
          <w:rFonts w:hint="eastAsia"/>
        </w:rPr>
        <w:t>个人自愿缴存者欠缴、停缴住房公积金超过3个月的，账户自动封存。个人自愿缴存者连续正常缴存时间自缴存启封月份起重新计算。</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第七条</w:t>
      </w:r>
      <w:r w:rsidR="00D51FEB" w:rsidRPr="00B11C2F">
        <w:rPr>
          <w:rFonts w:hint="eastAsia"/>
        </w:rPr>
        <w:t xml:space="preserve">  </w:t>
      </w:r>
      <w:r w:rsidRPr="00B11C2F">
        <w:rPr>
          <w:rFonts w:hint="eastAsia"/>
        </w:rPr>
        <w:t>个人自愿缴存者符合下列情形之一的，可申请提取住房公积金：</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（一）使用本市住房公积金贷款购买自住住房的，应以按月</w:t>
      </w:r>
      <w:bookmarkStart w:id="0" w:name="_GoBack"/>
      <w:bookmarkEnd w:id="0"/>
      <w:r w:rsidR="005D4484" w:rsidRPr="00B11C2F">
        <w:rPr>
          <w:rFonts w:hint="eastAsia"/>
        </w:rPr>
        <w:t>冲</w:t>
      </w:r>
      <w:r w:rsidRPr="00B11C2F">
        <w:rPr>
          <w:rFonts w:hint="eastAsia"/>
        </w:rPr>
        <w:t>还贷方式办理，用于偿还住房公积金贷款，直至结清。</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lastRenderedPageBreak/>
        <w:t>（二）使用本市住房公积金贷款以外的其他付款方式购买中华人民共和国境内自住住房的，参照本市住房公积金购房提取政策执行。</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（三）符合本市其他提取情形的，参照本市住房公积金提取政策执行。</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（四）除上述规定情形外，账户停缴半年后可申请提取，提取限额不超过以个人自愿缴存者身份缴存的住房公积金。</w:t>
      </w:r>
    </w:p>
    <w:p w:rsidR="00F10FEA" w:rsidRPr="00B11C2F" w:rsidRDefault="00B526EE">
      <w:pPr>
        <w:pStyle w:val="a8"/>
        <w:shd w:val="clear" w:color="auto" w:fill="FFFFFF"/>
        <w:spacing w:before="0" w:beforeAutospacing="0" w:after="0" w:afterAutospacing="0" w:line="360" w:lineRule="auto"/>
        <w:ind w:firstLine="482"/>
        <w:jc w:val="both"/>
      </w:pPr>
      <w:r w:rsidRPr="00B11C2F">
        <w:rPr>
          <w:rFonts w:hint="eastAsia"/>
        </w:rPr>
        <w:t>第八条</w:t>
      </w:r>
      <w:r w:rsidR="00D51FEB" w:rsidRPr="00B11C2F">
        <w:rPr>
          <w:rFonts w:hint="eastAsia"/>
        </w:rPr>
        <w:t xml:space="preserve"> </w:t>
      </w:r>
      <w:r w:rsidRPr="00B11C2F">
        <w:rPr>
          <w:rFonts w:hint="eastAsia"/>
        </w:rPr>
        <w:t>个人自愿缴存者死亡或者被宣告死亡，其</w:t>
      </w:r>
      <w:r w:rsidRPr="00B11C2F">
        <w:rPr>
          <w:rFonts w:hint="eastAsia"/>
          <w:snapToGrid w:val="0"/>
          <w:spacing w:val="-8"/>
          <w:szCs w:val="32"/>
        </w:rPr>
        <w:t>继承人、受遗赠人</w:t>
      </w:r>
      <w:r w:rsidRPr="00B11C2F">
        <w:rPr>
          <w:rFonts w:hint="eastAsia"/>
        </w:rPr>
        <w:t>可参照本市关于职工死亡或者被宣告死亡提取住房公积金政策执行。</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rPr>
          <w:rFonts w:hint="eastAsia"/>
        </w:rPr>
        <w:t>第九条</w:t>
      </w:r>
      <w:r w:rsidR="00D51FEB" w:rsidRPr="00B11C2F">
        <w:rPr>
          <w:rFonts w:hint="eastAsia"/>
        </w:rPr>
        <w:t xml:space="preserve">  </w:t>
      </w:r>
      <w:r w:rsidRPr="00B11C2F">
        <w:rPr>
          <w:rFonts w:hint="eastAsia"/>
        </w:rPr>
        <w:t>个人自愿缴存者申请住房公积金贷款的，参照本市住房公积金贷款政策执行，并体现多存多贷的原则。</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rPr>
          <w:rFonts w:hint="eastAsia"/>
        </w:rPr>
        <w:t>第十条</w:t>
      </w:r>
      <w:r w:rsidR="00D51FEB" w:rsidRPr="00B11C2F">
        <w:rPr>
          <w:rFonts w:hint="eastAsia"/>
        </w:rPr>
        <w:t xml:space="preserve">  </w:t>
      </w:r>
      <w:r w:rsidRPr="00B11C2F">
        <w:rPr>
          <w:rFonts w:hint="eastAsia"/>
        </w:rPr>
        <w:t>以个人自愿缴存方式申请住房公积金贷款，只能以其个人账户内的余额直接冲还当月偿还贷款的本息。自愿缴存者个人账户必须确保有足够余额用于划扣当月公积金贷款还贷本金利息，若因余额不足导致还贷逾期的，还贷逾期信息将被记入中国人民银行个人信用信息基础数据库。自愿缴存者连续三个月或累计六个月不能按期归还住房公积金贷款本息的，受委托银行将有权提前收回贷款本金。</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t>第</w:t>
      </w:r>
      <w:r w:rsidRPr="00B11C2F">
        <w:rPr>
          <w:rFonts w:hint="eastAsia"/>
        </w:rPr>
        <w:t>十一</w:t>
      </w:r>
      <w:r w:rsidRPr="00B11C2F">
        <w:t>条</w:t>
      </w:r>
      <w:r w:rsidR="00D51FEB" w:rsidRPr="00B11C2F">
        <w:rPr>
          <w:rFonts w:hint="eastAsia"/>
        </w:rPr>
        <w:t xml:space="preserve"> </w:t>
      </w:r>
      <w:r w:rsidRPr="00B11C2F">
        <w:rPr>
          <w:rFonts w:hint="eastAsia"/>
        </w:rPr>
        <w:t>个人自愿缴存者在偿还住房公积金贷款期间，应当足额缴存住房公积金。在住房公积金贷款结清前，个人自愿缴存者缴存账户的余额应当优先用于偿还住房公积金贷款的本息。</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rPr>
          <w:rFonts w:hint="eastAsia"/>
        </w:rPr>
        <w:t>第</w:t>
      </w:r>
      <w:r w:rsidRPr="00B11C2F">
        <w:t>十</w:t>
      </w:r>
      <w:r w:rsidRPr="00B11C2F">
        <w:rPr>
          <w:rFonts w:hint="eastAsia"/>
        </w:rPr>
        <w:t>二条</w:t>
      </w:r>
      <w:r w:rsidR="00D51FEB" w:rsidRPr="00B11C2F">
        <w:rPr>
          <w:rFonts w:hint="eastAsia"/>
        </w:rPr>
        <w:t xml:space="preserve">  </w:t>
      </w:r>
      <w:r w:rsidRPr="00B11C2F">
        <w:rPr>
          <w:rFonts w:hint="eastAsia"/>
        </w:rPr>
        <w:t>个人自愿缴存者缴存的住房公积金及申请的住房公积金贷款，均按国家规定的利率计息。</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t>第</w:t>
      </w:r>
      <w:r w:rsidRPr="00B11C2F">
        <w:rPr>
          <w:rFonts w:hint="eastAsia"/>
        </w:rPr>
        <w:t>十三</w:t>
      </w:r>
      <w:r w:rsidRPr="00B11C2F">
        <w:t>条</w:t>
      </w:r>
      <w:r w:rsidR="00D51FEB" w:rsidRPr="00B11C2F">
        <w:rPr>
          <w:rFonts w:hint="eastAsia"/>
        </w:rPr>
        <w:t xml:space="preserve">  </w:t>
      </w:r>
      <w:r w:rsidRPr="00B11C2F">
        <w:rPr>
          <w:rFonts w:hint="eastAsia"/>
        </w:rPr>
        <w:t>个人自愿缴存者缴存的住房公积金涉及相关税收的，按国家有关税收法律、法规和规范性文件执行。</w:t>
      </w:r>
    </w:p>
    <w:p w:rsidR="00F10FEA" w:rsidRPr="00B11C2F" w:rsidRDefault="00B526EE" w:rsidP="00B11C2F">
      <w:pPr>
        <w:pStyle w:val="a8"/>
        <w:shd w:val="clear" w:color="auto" w:fill="FFFFFF"/>
        <w:spacing w:beforeLines="50" w:beforeAutospacing="0" w:afterLines="50" w:afterAutospacing="0" w:line="360" w:lineRule="auto"/>
        <w:ind w:firstLine="480"/>
        <w:jc w:val="both"/>
      </w:pPr>
      <w:r w:rsidRPr="00B11C2F">
        <w:rPr>
          <w:rFonts w:hint="eastAsia"/>
        </w:rPr>
        <w:t>第十四条</w:t>
      </w:r>
      <w:r w:rsidR="00D51FEB" w:rsidRPr="00B11C2F">
        <w:rPr>
          <w:rFonts w:hint="eastAsia"/>
        </w:rPr>
        <w:t xml:space="preserve">  </w:t>
      </w:r>
      <w:r w:rsidRPr="00B11C2F">
        <w:rPr>
          <w:rFonts w:hint="eastAsia"/>
        </w:rPr>
        <w:t>本办法有效期5年，自2018年</w:t>
      </w:r>
      <w:r w:rsidR="00D51FEB" w:rsidRPr="00B11C2F">
        <w:rPr>
          <w:rFonts w:hint="eastAsia"/>
        </w:rPr>
        <w:t>X</w:t>
      </w:r>
      <w:r w:rsidRPr="00B11C2F">
        <w:rPr>
          <w:rFonts w:hint="eastAsia"/>
        </w:rPr>
        <w:t>月</w:t>
      </w:r>
      <w:r w:rsidR="00D51FEB" w:rsidRPr="00B11C2F">
        <w:rPr>
          <w:rFonts w:hint="eastAsia"/>
        </w:rPr>
        <w:t>X</w:t>
      </w:r>
      <w:r w:rsidRPr="00B11C2F">
        <w:rPr>
          <w:rFonts w:hint="eastAsia"/>
        </w:rPr>
        <w:t>日起执行。</w:t>
      </w:r>
    </w:p>
    <w:sectPr w:rsidR="00F10FEA" w:rsidRPr="00B11C2F" w:rsidSect="005C1729">
      <w:footerReference w:type="default" r:id="rId8"/>
      <w:pgSz w:w="11906" w:h="16838"/>
      <w:pgMar w:top="1276" w:right="1700" w:bottom="1276"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04E" w:rsidRDefault="00CE304E">
      <w:r>
        <w:separator/>
      </w:r>
    </w:p>
  </w:endnote>
  <w:endnote w:type="continuationSeparator" w:id="1">
    <w:p w:rsidR="00CE304E" w:rsidRDefault="00CE3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3844"/>
    </w:sdtPr>
    <w:sdtContent>
      <w:p w:rsidR="00F10FEA" w:rsidRDefault="004C0214">
        <w:pPr>
          <w:pStyle w:val="a6"/>
          <w:jc w:val="center"/>
        </w:pPr>
        <w:r>
          <w:fldChar w:fldCharType="begin"/>
        </w:r>
        <w:r w:rsidR="00B526EE">
          <w:instrText xml:space="preserve"> PAGE   \* MERGEFORMAT </w:instrText>
        </w:r>
        <w:r>
          <w:fldChar w:fldCharType="separate"/>
        </w:r>
        <w:r w:rsidR="00B11C2F" w:rsidRPr="00B11C2F">
          <w:rPr>
            <w:noProof/>
            <w:lang w:val="zh-CN"/>
          </w:rPr>
          <w:t>1</w:t>
        </w:r>
        <w:r>
          <w:fldChar w:fldCharType="end"/>
        </w:r>
      </w:p>
    </w:sdtContent>
  </w:sdt>
  <w:p w:rsidR="00F10FEA" w:rsidRDefault="00F10F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04E" w:rsidRDefault="00CE304E">
      <w:r>
        <w:separator/>
      </w:r>
    </w:p>
  </w:footnote>
  <w:footnote w:type="continuationSeparator" w:id="1">
    <w:p w:rsidR="00CE304E" w:rsidRDefault="00CE3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7C6"/>
    <w:rsid w:val="00042503"/>
    <w:rsid w:val="00074E65"/>
    <w:rsid w:val="000C5C08"/>
    <w:rsid w:val="000F2A4D"/>
    <w:rsid w:val="00152577"/>
    <w:rsid w:val="001A1129"/>
    <w:rsid w:val="001F449A"/>
    <w:rsid w:val="00203BA3"/>
    <w:rsid w:val="002533D0"/>
    <w:rsid w:val="00261540"/>
    <w:rsid w:val="002C6CBC"/>
    <w:rsid w:val="002D4022"/>
    <w:rsid w:val="002E4A15"/>
    <w:rsid w:val="0030246D"/>
    <w:rsid w:val="0039244B"/>
    <w:rsid w:val="003C5973"/>
    <w:rsid w:val="003D14A7"/>
    <w:rsid w:val="00472BC0"/>
    <w:rsid w:val="004769B6"/>
    <w:rsid w:val="004C0214"/>
    <w:rsid w:val="004E1396"/>
    <w:rsid w:val="00533957"/>
    <w:rsid w:val="00544CD2"/>
    <w:rsid w:val="00550854"/>
    <w:rsid w:val="00593A18"/>
    <w:rsid w:val="005C1729"/>
    <w:rsid w:val="005D4484"/>
    <w:rsid w:val="005E7FC7"/>
    <w:rsid w:val="00601907"/>
    <w:rsid w:val="006019D0"/>
    <w:rsid w:val="00626530"/>
    <w:rsid w:val="0067068F"/>
    <w:rsid w:val="00682C74"/>
    <w:rsid w:val="006E0803"/>
    <w:rsid w:val="00706585"/>
    <w:rsid w:val="007B3EE4"/>
    <w:rsid w:val="007E0A72"/>
    <w:rsid w:val="007F1AAE"/>
    <w:rsid w:val="00801515"/>
    <w:rsid w:val="008070CC"/>
    <w:rsid w:val="00810010"/>
    <w:rsid w:val="008467FE"/>
    <w:rsid w:val="00852C67"/>
    <w:rsid w:val="00894C04"/>
    <w:rsid w:val="008A325F"/>
    <w:rsid w:val="00965C61"/>
    <w:rsid w:val="009C33DF"/>
    <w:rsid w:val="009E5254"/>
    <w:rsid w:val="009F0DDC"/>
    <w:rsid w:val="009F6FB0"/>
    <w:rsid w:val="00A518FE"/>
    <w:rsid w:val="00A52E29"/>
    <w:rsid w:val="00AA7E87"/>
    <w:rsid w:val="00AB2259"/>
    <w:rsid w:val="00AF23DC"/>
    <w:rsid w:val="00AF7959"/>
    <w:rsid w:val="00B11C2F"/>
    <w:rsid w:val="00B526EE"/>
    <w:rsid w:val="00B62DAF"/>
    <w:rsid w:val="00B752D5"/>
    <w:rsid w:val="00BF53E1"/>
    <w:rsid w:val="00C266EC"/>
    <w:rsid w:val="00C52E2C"/>
    <w:rsid w:val="00C67B26"/>
    <w:rsid w:val="00CE304E"/>
    <w:rsid w:val="00CF37C6"/>
    <w:rsid w:val="00D51FEB"/>
    <w:rsid w:val="00DD2803"/>
    <w:rsid w:val="00DD4652"/>
    <w:rsid w:val="00E13D22"/>
    <w:rsid w:val="00E44566"/>
    <w:rsid w:val="00ED5B4A"/>
    <w:rsid w:val="00ED6357"/>
    <w:rsid w:val="00EE1796"/>
    <w:rsid w:val="00F0693F"/>
    <w:rsid w:val="00F10FEA"/>
    <w:rsid w:val="00F84232"/>
    <w:rsid w:val="00F90450"/>
    <w:rsid w:val="00FC5DFC"/>
    <w:rsid w:val="44761662"/>
    <w:rsid w:val="7A687B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C1729"/>
    <w:rPr>
      <w:b/>
      <w:bCs/>
    </w:rPr>
  </w:style>
  <w:style w:type="paragraph" w:styleId="a4">
    <w:name w:val="annotation text"/>
    <w:basedOn w:val="a"/>
    <w:link w:val="Char0"/>
    <w:uiPriority w:val="99"/>
    <w:unhideWhenUsed/>
    <w:rsid w:val="005C1729"/>
    <w:pPr>
      <w:jc w:val="left"/>
    </w:pPr>
  </w:style>
  <w:style w:type="paragraph" w:styleId="a5">
    <w:name w:val="Balloon Text"/>
    <w:basedOn w:val="a"/>
    <w:link w:val="Char1"/>
    <w:uiPriority w:val="99"/>
    <w:unhideWhenUsed/>
    <w:qFormat/>
    <w:rsid w:val="005C1729"/>
    <w:rPr>
      <w:sz w:val="18"/>
      <w:szCs w:val="18"/>
    </w:rPr>
  </w:style>
  <w:style w:type="paragraph" w:styleId="a6">
    <w:name w:val="footer"/>
    <w:basedOn w:val="a"/>
    <w:link w:val="Char2"/>
    <w:uiPriority w:val="99"/>
    <w:unhideWhenUsed/>
    <w:rsid w:val="005C1729"/>
    <w:pPr>
      <w:tabs>
        <w:tab w:val="center" w:pos="4153"/>
        <w:tab w:val="right" w:pos="8306"/>
      </w:tabs>
      <w:snapToGrid w:val="0"/>
      <w:jc w:val="left"/>
    </w:pPr>
    <w:rPr>
      <w:sz w:val="18"/>
      <w:szCs w:val="18"/>
    </w:rPr>
  </w:style>
  <w:style w:type="paragraph" w:styleId="a7">
    <w:name w:val="header"/>
    <w:basedOn w:val="a"/>
    <w:link w:val="Char3"/>
    <w:uiPriority w:val="99"/>
    <w:unhideWhenUsed/>
    <w:rsid w:val="005C172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C172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5C1729"/>
    <w:rPr>
      <w:b/>
      <w:bCs/>
    </w:rPr>
  </w:style>
  <w:style w:type="character" w:styleId="aa">
    <w:name w:val="annotation reference"/>
    <w:basedOn w:val="a0"/>
    <w:uiPriority w:val="99"/>
    <w:unhideWhenUsed/>
    <w:rsid w:val="005C1729"/>
    <w:rPr>
      <w:sz w:val="21"/>
      <w:szCs w:val="21"/>
    </w:rPr>
  </w:style>
  <w:style w:type="character" w:customStyle="1" w:styleId="apple-converted-space">
    <w:name w:val="apple-converted-space"/>
    <w:basedOn w:val="a0"/>
    <w:rsid w:val="005C1729"/>
  </w:style>
  <w:style w:type="character" w:customStyle="1" w:styleId="Char3">
    <w:name w:val="页眉 Char"/>
    <w:basedOn w:val="a0"/>
    <w:link w:val="a7"/>
    <w:uiPriority w:val="99"/>
    <w:semiHidden/>
    <w:rsid w:val="005C1729"/>
    <w:rPr>
      <w:sz w:val="18"/>
      <w:szCs w:val="18"/>
    </w:rPr>
  </w:style>
  <w:style w:type="character" w:customStyle="1" w:styleId="Char2">
    <w:name w:val="页脚 Char"/>
    <w:basedOn w:val="a0"/>
    <w:link w:val="a6"/>
    <w:uiPriority w:val="99"/>
    <w:qFormat/>
    <w:rsid w:val="005C1729"/>
    <w:rPr>
      <w:sz w:val="18"/>
      <w:szCs w:val="18"/>
    </w:rPr>
  </w:style>
  <w:style w:type="character" w:customStyle="1" w:styleId="Char0">
    <w:name w:val="批注文字 Char"/>
    <w:basedOn w:val="a0"/>
    <w:link w:val="a4"/>
    <w:uiPriority w:val="99"/>
    <w:semiHidden/>
    <w:qFormat/>
    <w:rsid w:val="005C1729"/>
  </w:style>
  <w:style w:type="character" w:customStyle="1" w:styleId="Char">
    <w:name w:val="批注主题 Char"/>
    <w:basedOn w:val="Char0"/>
    <w:link w:val="a3"/>
    <w:uiPriority w:val="99"/>
    <w:semiHidden/>
    <w:rsid w:val="005C1729"/>
    <w:rPr>
      <w:b/>
      <w:bCs/>
    </w:rPr>
  </w:style>
  <w:style w:type="character" w:customStyle="1" w:styleId="Char1">
    <w:name w:val="批注框文本 Char"/>
    <w:basedOn w:val="a0"/>
    <w:link w:val="a5"/>
    <w:uiPriority w:val="99"/>
    <w:semiHidden/>
    <w:rsid w:val="005C17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annotation reference"/>
    <w:basedOn w:val="a0"/>
    <w:uiPriority w:val="99"/>
    <w:unhideWhenUsed/>
    <w:rPr>
      <w:sz w:val="21"/>
      <w:szCs w:val="21"/>
    </w:rPr>
  </w:style>
  <w:style w:type="character" w:customStyle="1" w:styleId="apple-converted-space">
    <w:name w:val="apple-converted-space"/>
    <w:basedOn w:val="a0"/>
  </w:style>
  <w:style w:type="character" w:customStyle="1" w:styleId="Char3">
    <w:name w:val="页眉 Char"/>
    <w:basedOn w:val="a0"/>
    <w:link w:val="a7"/>
    <w:uiPriority w:val="99"/>
    <w:semiHidden/>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C62D7F-DAC4-4AFF-94A9-C9B8686B86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211</Words>
  <Characters>1206</Characters>
  <Application>Microsoft Office Word</Application>
  <DocSecurity>0</DocSecurity>
  <Lines>10</Lines>
  <Paragraphs>2</Paragraphs>
  <ScaleCrop>false</ScaleCrop>
  <Company>china</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陈嘉颖</dc:creator>
  <cp:lastModifiedBy>黎子锋</cp:lastModifiedBy>
  <cp:revision>6</cp:revision>
  <cp:lastPrinted>2018-05-21T07:32:00Z</cp:lastPrinted>
  <dcterms:created xsi:type="dcterms:W3CDTF">2018-05-21T01:09:00Z</dcterms:created>
  <dcterms:modified xsi:type="dcterms:W3CDTF">2018-05-21T07:50:00Z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